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94146" w14:textId="77777777" w:rsidR="00750021" w:rsidRDefault="00D1258A" w:rsidP="00750021">
      <w:pPr>
        <w:jc w:val="center"/>
        <w:rPr>
          <w:b/>
        </w:rPr>
      </w:pPr>
      <w:r>
        <w:rPr>
          <w:b/>
        </w:rPr>
        <w:t>Workshop WAGE</w:t>
      </w:r>
      <w:r w:rsidR="00750021">
        <w:rPr>
          <w:b/>
        </w:rPr>
        <w:t xml:space="preserve"> à Genève auprès de l’</w:t>
      </w:r>
      <w:r>
        <w:rPr>
          <w:b/>
        </w:rPr>
        <w:t>OIT</w:t>
      </w:r>
    </w:p>
    <w:p w14:paraId="52A1A886" w14:textId="7B69A6DC" w:rsidR="00D1258A" w:rsidRDefault="00750021" w:rsidP="00750021">
      <w:pPr>
        <w:jc w:val="center"/>
        <w:rPr>
          <w:b/>
        </w:rPr>
      </w:pPr>
      <w:r>
        <w:rPr>
          <w:b/>
        </w:rPr>
        <w:t>(30.6-1.7.2016</w:t>
      </w:r>
      <w:r w:rsidR="00D1258A">
        <w:rPr>
          <w:b/>
        </w:rPr>
        <w:br/>
      </w:r>
    </w:p>
    <w:p w14:paraId="1384A05A" w14:textId="725853DF" w:rsidR="0011204F" w:rsidRDefault="0011204F" w:rsidP="00750021">
      <w:pPr>
        <w:jc w:val="center"/>
        <w:rPr>
          <w:b/>
        </w:rPr>
      </w:pPr>
      <w:r>
        <w:rPr>
          <w:b/>
        </w:rPr>
        <w:t xml:space="preserve">Rapport </w:t>
      </w:r>
      <w:r w:rsidR="00194AB5">
        <w:rPr>
          <w:b/>
        </w:rPr>
        <w:t>général</w:t>
      </w:r>
    </w:p>
    <w:p w14:paraId="6208654D" w14:textId="77777777" w:rsidR="0011204F" w:rsidRDefault="0011204F" w:rsidP="00D1258A">
      <w:pPr>
        <w:rPr>
          <w:b/>
        </w:rPr>
      </w:pPr>
    </w:p>
    <w:p w14:paraId="1F33351E" w14:textId="77777777" w:rsidR="00750021" w:rsidRDefault="00750021" w:rsidP="00D1258A">
      <w:pPr>
        <w:rPr>
          <w:b/>
        </w:rPr>
      </w:pPr>
    </w:p>
    <w:p w14:paraId="69682CD8" w14:textId="0267F1C2" w:rsidR="00D1258A" w:rsidRDefault="00DB1AE0" w:rsidP="00C357F0">
      <w:pPr>
        <w:ind w:firstLine="284"/>
      </w:pPr>
      <w:r>
        <w:t>Notre second atelier commence le jeudi 30 juin à 14 h et se termine le vendredi 1</w:t>
      </w:r>
      <w:r w:rsidRPr="0049286F">
        <w:rPr>
          <w:vertAlign w:val="superscript"/>
        </w:rPr>
        <w:t>er</w:t>
      </w:r>
      <w:r>
        <w:t xml:space="preserve"> juillet à 16 h. </w:t>
      </w:r>
      <w:r w:rsidR="00FE5F8F">
        <w:t xml:space="preserve">Six </w:t>
      </w:r>
      <w:r w:rsidR="00FD5112">
        <w:t>participants sont extérieur</w:t>
      </w:r>
      <w:r w:rsidR="00FE5F8F">
        <w:t xml:space="preserve">s à la Suisse </w:t>
      </w:r>
      <w:r w:rsidR="00D1258A">
        <w:t xml:space="preserve">: Stéphane Callens (Artois/Arras), Pim de Zwart (Wageningen), Aomar Ibourk (Marrakech), Clément Sehier (Lille), Remzi Uctum (Paris-Ouest) et </w:t>
      </w:r>
      <w:r w:rsidR="00296745">
        <w:t>Michel-Pierre Chélini</w:t>
      </w:r>
      <w:r w:rsidR="00D1258A">
        <w:t xml:space="preserve"> (Artois/Arras). </w:t>
      </w:r>
      <w:r w:rsidR="00C357F0">
        <w:t xml:space="preserve">La dimension un peu technique de l’atelier, la nécessité de plafonner les coûts et la date au début </w:t>
      </w:r>
      <w:r w:rsidR="00FE5F8F">
        <w:t>de l’été ont réduit les effectifs</w:t>
      </w:r>
      <w:r w:rsidR="00C357F0">
        <w:t xml:space="preserve">. Du côté du </w:t>
      </w:r>
      <w:r w:rsidR="00D1258A">
        <w:t xml:space="preserve">BIT, </w:t>
      </w:r>
      <w:r w:rsidR="00FE5F8F">
        <w:t xml:space="preserve">sont présents Patrick Belser, </w:t>
      </w:r>
      <w:r w:rsidR="00D1258A">
        <w:t xml:space="preserve">responsable du WAGE group, Nicolas Maître </w:t>
      </w:r>
      <w:r w:rsidR="00C357F0">
        <w:t xml:space="preserve">qui </w:t>
      </w:r>
      <w:r w:rsidR="00D1258A">
        <w:t>remplace désormais Kr</w:t>
      </w:r>
      <w:r w:rsidR="00FE5F8F">
        <w:t>isten Sobeck (</w:t>
      </w:r>
      <w:r w:rsidR="00D1258A">
        <w:t>Buenos-Aires</w:t>
      </w:r>
      <w:r w:rsidR="00FE5F8F">
        <w:t>)</w:t>
      </w:r>
      <w:r w:rsidR="00D1258A">
        <w:t xml:space="preserve"> </w:t>
      </w:r>
      <w:r w:rsidR="00FE5F8F">
        <w:t xml:space="preserve">et </w:t>
      </w:r>
      <w:r w:rsidR="00D1258A">
        <w:t xml:space="preserve">en charge </w:t>
      </w:r>
      <w:r w:rsidR="00FE5F8F">
        <w:t xml:space="preserve">du </w:t>
      </w:r>
      <w:r w:rsidR="00D1258A" w:rsidRPr="0095373B">
        <w:rPr>
          <w:i/>
        </w:rPr>
        <w:t>Rapport mondial sur les Salaires</w:t>
      </w:r>
      <w:r w:rsidR="00D1258A">
        <w:t>, et</w:t>
      </w:r>
      <w:r w:rsidR="0011204F">
        <w:t xml:space="preserve"> Harvey Clavien</w:t>
      </w:r>
      <w:r w:rsidR="00D1258A">
        <w:t>, économiste au service de statistiques de l’OIT.</w:t>
      </w:r>
      <w:r w:rsidR="0011204F">
        <w:t xml:space="preserve"> </w:t>
      </w:r>
      <w:r w:rsidR="00063CD4">
        <w:t xml:space="preserve">Marc Bachetta, de l’OMC, qui travaille sur les salaires dans le commerce international, nous rejoint </w:t>
      </w:r>
      <w:r w:rsidR="0011204F">
        <w:t>au moment du repas</w:t>
      </w:r>
      <w:r w:rsidR="001C4AE1">
        <w:t xml:space="preserve"> le vendredi</w:t>
      </w:r>
      <w:r w:rsidR="00FE5F8F">
        <w:t xml:space="preserve">. </w:t>
      </w:r>
    </w:p>
    <w:p w14:paraId="17AB6E9F" w14:textId="7AAF7084" w:rsidR="00903F37" w:rsidRDefault="0049286F" w:rsidP="00D1258A">
      <w:pPr>
        <w:ind w:firstLine="284"/>
      </w:pPr>
      <w:r>
        <w:t xml:space="preserve">Nous travaillons dans une </w:t>
      </w:r>
      <w:r w:rsidR="00DD6AD9">
        <w:t xml:space="preserve">très belle </w:t>
      </w:r>
      <w:r>
        <w:t xml:space="preserve">salle </w:t>
      </w:r>
      <w:r w:rsidR="00DD6AD9">
        <w:t>(</w:t>
      </w:r>
      <w:r w:rsidR="00BC0B0C">
        <w:t>N°</w:t>
      </w:r>
      <w:r>
        <w:t xml:space="preserve">VII) d’une bonne quarantaine de places, très bien équipée. </w:t>
      </w:r>
      <w:r w:rsidR="00DD6AD9">
        <w:t>À Ferney-Voltaire</w:t>
      </w:r>
      <w:r w:rsidR="00383397">
        <w:t xml:space="preserve">, nous logeons dans le même hôtel, ce qui permet d’échanger aussi dans la voiture ou au petit-déjeuner et nous prenons le temps d’un dîner en commun le jeudi </w:t>
      </w:r>
      <w:r w:rsidR="00296745">
        <w:t xml:space="preserve">30 </w:t>
      </w:r>
      <w:r w:rsidR="00383397">
        <w:t xml:space="preserve">soir à l’auberge du Grand Saconnex afin de ne pas négliger les moments de convivialité. </w:t>
      </w:r>
    </w:p>
    <w:p w14:paraId="652A4A69" w14:textId="77777777" w:rsidR="0049286F" w:rsidRDefault="0049286F" w:rsidP="00C05427"/>
    <w:p w14:paraId="2F3796F1" w14:textId="48321B67" w:rsidR="006C5CD6" w:rsidRPr="006C5CD6" w:rsidRDefault="006C5CD6" w:rsidP="006C5CD6">
      <w:pPr>
        <w:rPr>
          <w:b/>
          <w:color w:val="0070C0"/>
        </w:rPr>
      </w:pPr>
      <w:r w:rsidRPr="006C5CD6">
        <w:rPr>
          <w:b/>
          <w:color w:val="0070C0"/>
        </w:rPr>
        <w:t>0. Synthèse finale</w:t>
      </w:r>
      <w:r w:rsidR="00362162">
        <w:rPr>
          <w:b/>
          <w:color w:val="0070C0"/>
        </w:rPr>
        <w:t xml:space="preserve"> et perspectives</w:t>
      </w:r>
    </w:p>
    <w:p w14:paraId="02A676F8" w14:textId="6C861A7A" w:rsidR="006C5CD6" w:rsidRPr="00E93C32" w:rsidRDefault="006C5CD6" w:rsidP="006C5CD6">
      <w:pPr>
        <w:rPr>
          <w:color w:val="FF0000"/>
        </w:rPr>
      </w:pPr>
      <w:r>
        <w:rPr>
          <w:color w:val="FF0000"/>
        </w:rPr>
        <w:tab/>
      </w:r>
      <w:r>
        <w:t xml:space="preserve">1. La cible qui pourrait être visée pour le printemps 2017 : l’évolution d’un ensemble de séries (pas une série unique) sur la période 1950-1990, à la fois du salaire moyen (salaire réel), du salaire masculin dans l’industrie, du salaire mensuel et/ou annuel, de la masse salariale, du salaire minimum (par exemple de la fonction publique). Comparer avec le PIB/habitant. </w:t>
      </w:r>
    </w:p>
    <w:p w14:paraId="472EAC49" w14:textId="77777777" w:rsidR="006C5CD6" w:rsidRDefault="006C5CD6" w:rsidP="006C5CD6">
      <w:pPr>
        <w:ind w:firstLine="284"/>
      </w:pPr>
      <w:r>
        <w:t xml:space="preserve">Il conviendrait d’ajouter à ces séries proprement salariales, des séries de contexte comme le chômage ou la productivité (voire l’espérance de vie, le niveau d’éducation ou l’IDH) pour envisager ensuite la possibilité de calculs économétriques. </w:t>
      </w:r>
    </w:p>
    <w:p w14:paraId="64943C18" w14:textId="77777777" w:rsidR="006C5CD6" w:rsidRDefault="006C5CD6" w:rsidP="006C5CD6">
      <w:pPr>
        <w:ind w:firstLine="284"/>
      </w:pPr>
      <w:r>
        <w:t xml:space="preserve">2. Il serait bon de partir d’un échantillon de pays, importants ou représentatifs : USA, Japon, France, Allemagne, UK, Italie, Suède ou Danemark, Espagne, Pays-Bas, Australie. L’Inde est possible, les données salariales existent et leur qualité statistique est indéniable, mais leur représentativité en 1950 comme en 1990 reste limitée (majorité d’actifs agricoles, importance du secteur informel). L’Afrique ne serait pas un bon départ, offrant trop d’écarts dans la disponibilité et la fiabilité des données ; ou alors il faut envisager quelques exemples comme Afrique du Sud, Maroc, Egypte et/ou Nigéria. Un réel problème se posera pour les économies socialistes, notamment des pays comme la Russie ou la Chine. On peut postuler que l’horizon de référence est constitué par les pays avancés, vers lesquels convergent ou devraient converger les pays intermédiaires de la période 1950-90 (comme l’Espagne par exemple), les pays en développement proprement dits et les pays socialistes. Les séries ultérieures pour pays socialistes ou pays en développement seraient construites par écart rétrospectif (situation d’écart pays socialiste/USA par exemple en 1990, puis remontée dans le temps) avec les pays avancés. </w:t>
      </w:r>
    </w:p>
    <w:p w14:paraId="25D251D1" w14:textId="77777777" w:rsidR="006C5CD6" w:rsidRDefault="006C5CD6" w:rsidP="006C5CD6">
      <w:pPr>
        <w:ind w:firstLine="284"/>
      </w:pPr>
      <w:r>
        <w:t xml:space="preserve">3. Méthodologie. Le mieux serait de partir de la série BIT depuis 1995 et de la remonter dans le temps. </w:t>
      </w:r>
    </w:p>
    <w:p w14:paraId="10998463" w14:textId="77777777" w:rsidR="006C5CD6" w:rsidRDefault="006C5CD6" w:rsidP="006C5CD6">
      <w:pPr>
        <w:ind w:firstLine="284"/>
      </w:pPr>
      <w:r>
        <w:t xml:space="preserve">Sources : Les séries déjà publiées, à harmoniser soit en dollars internationaux 1990, soit, si ce n’est pas possible pour tout l’échantillon, en monnaie nationale déflatée de la hausse des prix et convertie en index. </w:t>
      </w:r>
    </w:p>
    <w:p w14:paraId="6C788C0D" w14:textId="4B9D518B" w:rsidR="006C5CD6" w:rsidRDefault="006C5CD6" w:rsidP="006C5CD6">
      <w:pPr>
        <w:ind w:firstLine="284"/>
      </w:pPr>
      <w:r>
        <w:lastRenderedPageBreak/>
        <w:t xml:space="preserve">. Les sources du BIT sont de deux catégories. D’une part, les </w:t>
      </w:r>
      <w:r w:rsidRPr="001E63D9">
        <w:rPr>
          <w:i/>
          <w:color w:val="000000" w:themeColor="text1"/>
        </w:rPr>
        <w:t xml:space="preserve">Annuaires </w:t>
      </w:r>
      <w:r w:rsidR="004644BB">
        <w:rPr>
          <w:i/>
          <w:color w:val="000000" w:themeColor="text1"/>
        </w:rPr>
        <w:t>statistiques du travail</w:t>
      </w:r>
      <w:r w:rsidRPr="001E63D9">
        <w:rPr>
          <w:color w:val="000000" w:themeColor="text1"/>
        </w:rPr>
        <w:t xml:space="preserve"> </w:t>
      </w:r>
      <w:r>
        <w:t>du BIT (qui ont été semble-t-il numérisés), d’autre part les archives elles-mêmes du BIT pour la période 1950-90 (documents reçus des gouvernements et des ministères du Travail, car tout n’est pas ou ne peut pas être publié). Rappeler que les sources sont différentes selon les pays ou les types de pays (Pays avancés, pays ex-colonisés, pays en développement etc.).</w:t>
      </w:r>
    </w:p>
    <w:p w14:paraId="67A1B081" w14:textId="77777777" w:rsidR="006C5CD6" w:rsidRDefault="006C5CD6" w:rsidP="006C5CD6">
      <w:pPr>
        <w:ind w:firstLine="284"/>
      </w:pPr>
      <w:r w:rsidRPr="00DF2B49">
        <w:t xml:space="preserve">. Le </w:t>
      </w:r>
      <w:r w:rsidRPr="00DF2B49">
        <w:rPr>
          <w:i/>
        </w:rPr>
        <w:t>Bureau of Labor Statistics</w:t>
      </w:r>
      <w:r w:rsidRPr="00DF2B49">
        <w:t xml:space="preserve"> </w:t>
      </w:r>
      <w:r>
        <w:t xml:space="preserve">des Etats-Unis </w:t>
      </w:r>
      <w:r w:rsidRPr="00DF2B49">
        <w:t xml:space="preserve">a effectué un travail similaire, en réalisant un ajustement par pays et une typologie par source </w:t>
      </w:r>
    </w:p>
    <w:p w14:paraId="2F4CC53E" w14:textId="40FD205A" w:rsidR="006C5CD6" w:rsidRDefault="006C5CD6" w:rsidP="006C5CD6">
      <w:r>
        <w:t xml:space="preserve">. Données manquantes : appliquer selon le cas les méthodes définies par A. Ibourk. </w:t>
      </w:r>
      <w:r>
        <w:br/>
        <w:t>4. Inventorier des études réalisées dans une branche nationale spécifique (comme les chemins de fer en Uruguay) permettant de tester contradictoirement les séries réalisées et, selon le cas, envisager de rédiger des études de cas pour certains pays choisis, explicitant de manière discursive enrichie de tableaux détaillées, l’évolution des salaires en relation avec l’ensemble de l’économie du pays et de l’environnement économique international (porosité mutuelle croissante des économies nationales)</w:t>
      </w:r>
    </w:p>
    <w:p w14:paraId="49CEEE38" w14:textId="77777777" w:rsidR="006C5CD6" w:rsidRDefault="006C5CD6" w:rsidP="006C5CD6"/>
    <w:p w14:paraId="1D10EA44" w14:textId="54FAB1C8" w:rsidR="00C05427" w:rsidRPr="001E63D9" w:rsidRDefault="00C05427" w:rsidP="00C05427">
      <w:pPr>
        <w:rPr>
          <w:b/>
          <w:color w:val="C00000"/>
        </w:rPr>
      </w:pPr>
      <w:r w:rsidRPr="001E63D9">
        <w:rPr>
          <w:b/>
          <w:color w:val="C00000"/>
        </w:rPr>
        <w:t>-------------------------------------------------------session 1 ----------------------------------------------</w:t>
      </w:r>
    </w:p>
    <w:p w14:paraId="0C42DE0E" w14:textId="7C4D6778" w:rsidR="00B313BF" w:rsidRPr="00C05427" w:rsidRDefault="00B313BF" w:rsidP="00C05427">
      <w:pPr>
        <w:rPr>
          <w:color w:val="FF6600"/>
        </w:rPr>
      </w:pPr>
      <w:r w:rsidRPr="000E0601">
        <w:rPr>
          <w:color w:val="0000FF"/>
        </w:rPr>
        <w:t>Définition des salaires en longue période. Problématiques</w:t>
      </w:r>
      <w:r>
        <w:rPr>
          <w:color w:val="0000FF"/>
        </w:rPr>
        <w:t xml:space="preserve"> et méthodologies</w:t>
      </w:r>
    </w:p>
    <w:p w14:paraId="30831741" w14:textId="63827171" w:rsidR="00C05427" w:rsidRDefault="00CE497A" w:rsidP="00903F37">
      <w:pPr>
        <w:ind w:firstLine="284"/>
      </w:pPr>
      <w:r>
        <w:t>Patrick Belser</w:t>
      </w:r>
      <w:r w:rsidR="00750021">
        <w:t xml:space="preserve"> commence par accueillir les participants à l’atelier</w:t>
      </w:r>
      <w:r w:rsidR="00B45881">
        <w:t xml:space="preserve"> et leur souhaiter la bienvenue au nom du BIT</w:t>
      </w:r>
      <w:r w:rsidR="00750021">
        <w:t xml:space="preserve">. </w:t>
      </w:r>
    </w:p>
    <w:p w14:paraId="53D5F9A7" w14:textId="77777777" w:rsidR="00DD6AD9" w:rsidRDefault="00DD6AD9" w:rsidP="00CE497A">
      <w:pPr>
        <w:spacing w:line="280" w:lineRule="exact"/>
        <w:rPr>
          <w:rFonts w:eastAsia="Times New Roman" w:cs="Times New Roman"/>
        </w:rPr>
      </w:pPr>
    </w:p>
    <w:p w14:paraId="57334D99" w14:textId="44411D70" w:rsidR="00D1258A" w:rsidRPr="00B313BF" w:rsidRDefault="00CE497A" w:rsidP="00CE497A">
      <w:pPr>
        <w:spacing w:line="280" w:lineRule="exact"/>
        <w:rPr>
          <w:rFonts w:eastAsia="Times New Roman" w:cs="Times New Roman"/>
        </w:rPr>
      </w:pPr>
      <w:r>
        <w:rPr>
          <w:rFonts w:eastAsia="Times New Roman" w:cs="Times New Roman"/>
        </w:rPr>
        <w:t>1</w:t>
      </w:r>
      <w:r w:rsidR="00D1258A" w:rsidRPr="00277B9A">
        <w:rPr>
          <w:rFonts w:eastAsia="Times New Roman" w:cs="Times New Roman"/>
          <w:color w:val="008000"/>
        </w:rPr>
        <w:t xml:space="preserve">. Michel-Pierre Chélini (Arras) : </w:t>
      </w:r>
      <w:r w:rsidR="00D1258A" w:rsidRPr="00277B9A">
        <w:rPr>
          <w:rFonts w:eastAsia="Times New Roman" w:cs="Times New Roman"/>
          <w:i/>
          <w:color w:val="008000"/>
        </w:rPr>
        <w:t>Introduction générale de l’atelier</w:t>
      </w:r>
    </w:p>
    <w:p w14:paraId="2B57BD0F" w14:textId="738AEA56" w:rsidR="00C05427" w:rsidRDefault="00C05427" w:rsidP="00C05427">
      <w:pPr>
        <w:ind w:firstLine="284"/>
      </w:pPr>
      <w:r>
        <w:t xml:space="preserve">L’objectif de l’atelier est de soulever tous les problèmes méthodologiques qui pourraient se poser </w:t>
      </w:r>
      <w:r w:rsidRPr="00C05427">
        <w:t xml:space="preserve">dans la constitution d’une base de données rétropolée compatible avec celle de l’OIT </w:t>
      </w:r>
      <w:r>
        <w:t xml:space="preserve">et de commencer à tester l’un de nos cinq axes de réflexion, les salaires des migrants. </w:t>
      </w:r>
      <w:r w:rsidR="00750021">
        <w:t>L’idée serait d’</w:t>
      </w:r>
      <w:r>
        <w:t xml:space="preserve">élaborer d’ici février 2017 une première série statistique en longue période depuis 1950 afin de l’insérer dans notre candidature COST. </w:t>
      </w:r>
    </w:p>
    <w:p w14:paraId="6C978D5E" w14:textId="57A5BE87" w:rsidR="00C05427" w:rsidRPr="00421E94" w:rsidRDefault="00C05427" w:rsidP="00C05427">
      <w:pPr>
        <w:ind w:firstLine="284"/>
      </w:pPr>
      <w:r w:rsidRPr="00C05427">
        <w:t xml:space="preserve">Trois premiers indicateurs synthétiques </w:t>
      </w:r>
      <w:r w:rsidR="00526243">
        <w:t xml:space="preserve">seraient l’objectif-cible de la base de </w:t>
      </w:r>
      <w:r w:rsidR="00E52DB7">
        <w:t>données</w:t>
      </w:r>
      <w:r w:rsidR="00E52DB7" w:rsidRPr="00421E94">
        <w:t xml:space="preserve"> :</w:t>
      </w:r>
    </w:p>
    <w:p w14:paraId="3CD9749C" w14:textId="2C184EB8" w:rsidR="00750021" w:rsidRPr="00277153" w:rsidRDefault="00C05427" w:rsidP="00750021">
      <w:pPr>
        <w:ind w:firstLine="284"/>
      </w:pPr>
      <w:r w:rsidRPr="00421E94">
        <w:rPr>
          <w:rFonts w:ascii="Menlo Bold" w:hAnsi="Menlo Bold" w:cs="Menlo Bold"/>
        </w:rPr>
        <w:t>➢</w:t>
      </w:r>
      <w:r w:rsidRPr="00421E94">
        <w:t xml:space="preserve"> un </w:t>
      </w:r>
      <w:r w:rsidRPr="00421E94">
        <w:rPr>
          <w:i/>
        </w:rPr>
        <w:t>salaire moyen global</w:t>
      </w:r>
      <w:r w:rsidRPr="00421E94">
        <w:t xml:space="preserve"> en dollars constants depuis 1950 ou 1960 </w:t>
      </w:r>
      <w:r>
        <w:t xml:space="preserve">qui </w:t>
      </w:r>
      <w:r w:rsidRPr="00421E94">
        <w:t>p</w:t>
      </w:r>
      <w:r>
        <w:t>ourrait faire office d’</w:t>
      </w:r>
      <w:r w:rsidRPr="00421E94">
        <w:t>indice global des salaires</w:t>
      </w:r>
      <w:r w:rsidR="00B84BCE">
        <w:t xml:space="preserve"> à partir </w:t>
      </w:r>
      <w:r>
        <w:t xml:space="preserve">d’indices nationaux </w:t>
      </w:r>
      <w:r w:rsidR="00CF1046">
        <w:t xml:space="preserve">de pays </w:t>
      </w:r>
      <w:r w:rsidR="00750021">
        <w:t xml:space="preserve">suffisamment représentatifs </w:t>
      </w:r>
      <w:r w:rsidRPr="00C05427">
        <w:t>(</w:t>
      </w:r>
      <w:r w:rsidR="00B45881">
        <w:t xml:space="preserve">USA, </w:t>
      </w:r>
      <w:r w:rsidRPr="00C05427">
        <w:t>France, Royaume-Uni, Allemagne,</w:t>
      </w:r>
      <w:r>
        <w:t xml:space="preserve"> Danemark-Suède, Espagne, Maroc, Malaisie, Inde, Chine, Uruguay, Russie etc.)</w:t>
      </w:r>
      <w:r w:rsidR="00750021">
        <w:t>. Il serait constitué lui-même de trois sous-séries complémentaires : le salaire horaire brut, l</w:t>
      </w:r>
      <w:r w:rsidR="00526243">
        <w:t>e salaire annuel moyen net</w:t>
      </w:r>
      <w:r w:rsidR="00750021">
        <w:t xml:space="preserve"> et l</w:t>
      </w:r>
      <w:r w:rsidR="00526243">
        <w:t>a masse salariale brute (% du PIB</w:t>
      </w:r>
      <w:r w:rsidR="00750021">
        <w:t>).</w:t>
      </w:r>
      <w:r w:rsidR="00466E33">
        <w:t xml:space="preserve"> </w:t>
      </w:r>
      <w:r w:rsidR="00750021">
        <w:t>Pour compléter </w:t>
      </w:r>
      <w:r w:rsidR="00750021" w:rsidRPr="00277153">
        <w:t>: le salaire minimum, les salaires des jeunes</w:t>
      </w:r>
      <w:r w:rsidR="00750021">
        <w:t xml:space="preserve"> (16-25 ans, 26-35 ans)</w:t>
      </w:r>
      <w:r w:rsidR="00750021" w:rsidRPr="00277153">
        <w:t>, le salaire des femmes, le seuil de pauvreté</w:t>
      </w:r>
      <w:r w:rsidR="00750021">
        <w:t>. Pour des calculs économétriques ultérieurs, trois</w:t>
      </w:r>
      <w:r w:rsidR="00526243">
        <w:t xml:space="preserve"> données additionnelles rendraient les meilleurs services</w:t>
      </w:r>
      <w:r w:rsidR="00750021">
        <w:t xml:space="preserve"> </w:t>
      </w:r>
      <w:r w:rsidR="00526243">
        <w:t>: le temps de travail (heures</w:t>
      </w:r>
      <w:r w:rsidR="00750021">
        <w:t xml:space="preserve">), la valeur ajoutée (PIB), qui donnent </w:t>
      </w:r>
      <w:r w:rsidR="00526243">
        <w:t xml:space="preserve">la productivité du travail </w:t>
      </w:r>
      <w:r w:rsidR="00750021">
        <w:t>(</w:t>
      </w:r>
      <w:r w:rsidR="00526243">
        <w:t>relation salaire / productivité</w:t>
      </w:r>
      <w:r w:rsidR="00750021">
        <w:t>)</w:t>
      </w:r>
      <w:r w:rsidR="00526243">
        <w:t xml:space="preserve">, et les charges sociales </w:t>
      </w:r>
      <w:r w:rsidR="00750021">
        <w:t>(coût</w:t>
      </w:r>
      <w:r w:rsidR="00526243">
        <w:t xml:space="preserve"> du travail</w:t>
      </w:r>
      <w:r w:rsidR="00750021">
        <w:t xml:space="preserve">), </w:t>
      </w:r>
    </w:p>
    <w:p w14:paraId="4DE25457" w14:textId="497500DC" w:rsidR="00C05427" w:rsidRPr="00421E94" w:rsidRDefault="00C05427" w:rsidP="00526243">
      <w:pPr>
        <w:ind w:firstLine="284"/>
      </w:pPr>
      <w:r w:rsidRPr="00421E94">
        <w:rPr>
          <w:rFonts w:ascii="Menlo Bold" w:hAnsi="Menlo Bold" w:cs="Menlo Bold"/>
        </w:rPr>
        <w:t>➢</w:t>
      </w:r>
      <w:r w:rsidRPr="00421E94">
        <w:t xml:space="preserve"> un </w:t>
      </w:r>
      <w:r w:rsidRPr="00421E94">
        <w:rPr>
          <w:i/>
        </w:rPr>
        <w:t>indice de dispersion des salaires</w:t>
      </w:r>
      <w:r w:rsidRPr="00421E94">
        <w:t xml:space="preserve"> (D9 / D1) par pays, </w:t>
      </w:r>
      <w:r>
        <w:t xml:space="preserve">par </w:t>
      </w:r>
      <w:r w:rsidRPr="00421E94">
        <w:t>continent, à l'échelle mondiale</w:t>
      </w:r>
    </w:p>
    <w:p w14:paraId="071506B3" w14:textId="1BA7F529" w:rsidR="00C05427" w:rsidRPr="00277153" w:rsidRDefault="00C05427" w:rsidP="00750021">
      <w:pPr>
        <w:ind w:firstLine="284"/>
      </w:pPr>
      <w:r w:rsidRPr="00421E94">
        <w:rPr>
          <w:rFonts w:ascii="Menlo Bold" w:hAnsi="Menlo Bold" w:cs="Menlo Bold"/>
        </w:rPr>
        <w:t>➢</w:t>
      </w:r>
      <w:r w:rsidRPr="00421E94">
        <w:t xml:space="preserve"> un </w:t>
      </w:r>
      <w:r>
        <w:rPr>
          <w:i/>
        </w:rPr>
        <w:t xml:space="preserve">indicateur global de </w:t>
      </w:r>
      <w:r w:rsidRPr="00421E94">
        <w:rPr>
          <w:i/>
        </w:rPr>
        <w:t>convergence des salaires</w:t>
      </w:r>
      <w:r>
        <w:t xml:space="preserve"> (</w:t>
      </w:r>
      <w:r w:rsidRPr="0025733E">
        <w:rPr>
          <w:rFonts w:hint="eastAsia"/>
          <w:i/>
        </w:rPr>
        <w:t>Σ</w:t>
      </w:r>
      <w:r>
        <w:rPr>
          <w:i/>
        </w:rPr>
        <w:t>-</w:t>
      </w:r>
      <w:r w:rsidRPr="0025733E">
        <w:rPr>
          <w:i/>
        </w:rPr>
        <w:t>convergence</w:t>
      </w:r>
      <w:r w:rsidRPr="00421E94">
        <w:t xml:space="preserve">, réduction de la dispersion des niveaux de revenu </w:t>
      </w:r>
      <w:r>
        <w:t xml:space="preserve">internes aux économies nationales, </w:t>
      </w:r>
      <w:r>
        <w:rPr>
          <w:i/>
        </w:rPr>
        <w:t>ß-</w:t>
      </w:r>
      <w:r w:rsidRPr="0025733E">
        <w:rPr>
          <w:i/>
        </w:rPr>
        <w:t>convergence</w:t>
      </w:r>
      <w:r>
        <w:t xml:space="preserve">, </w:t>
      </w:r>
      <w:r w:rsidRPr="00C05427">
        <w:t>réduction de l’écart entre pays émergents et en développement et pays avancés).</w:t>
      </w:r>
    </w:p>
    <w:p w14:paraId="4CAEAB5D" w14:textId="12C12353" w:rsidR="00C05427" w:rsidRDefault="00277153" w:rsidP="00C05427">
      <w:pPr>
        <w:ind w:left="284"/>
      </w:pPr>
      <w:r w:rsidRPr="00277153">
        <w:t>En cas de dé</w:t>
      </w:r>
      <w:r>
        <w:t>faut de données, plusieurs solutions existent</w:t>
      </w:r>
      <w:r w:rsidR="00FF0A78">
        <w:t xml:space="preserve"> pour approcher les valeurs manquantes :</w:t>
      </w:r>
    </w:p>
    <w:p w14:paraId="5ADF3FDA" w14:textId="1E4C8783" w:rsidR="00782C4C" w:rsidRDefault="00782C4C" w:rsidP="00277153">
      <w:r>
        <w:t>. Des enquêtes spécifiques de salaires réalisées dans le pays depuis 1950</w:t>
      </w:r>
    </w:p>
    <w:p w14:paraId="2A7AA78F" w14:textId="3E090B97" w:rsidR="00277153" w:rsidRDefault="00277153" w:rsidP="00277153">
      <w:r>
        <w:t>. Le salaire minimum légal</w:t>
      </w:r>
      <w:r w:rsidR="00782C4C">
        <w:t xml:space="preserve"> </w:t>
      </w:r>
      <w:r w:rsidR="00750021">
        <w:t xml:space="preserve"> </w:t>
      </w:r>
    </w:p>
    <w:p w14:paraId="765F3C4C" w14:textId="3A49A622" w:rsidR="00277153" w:rsidRDefault="00277153" w:rsidP="00277153">
      <w:r>
        <w:t>. Les salaires de la fonction publique (souvent les grilles de la fonction publique servent de canevas central du système salarial privé)</w:t>
      </w:r>
    </w:p>
    <w:p w14:paraId="2756716A" w14:textId="16874D8A" w:rsidR="00277153" w:rsidRDefault="00277153" w:rsidP="00277153">
      <w:r>
        <w:t>. Les salaires dans certains secteurs très organisés :</w:t>
      </w:r>
      <w:r w:rsidR="00202400">
        <w:t xml:space="preserve"> mines, chemins de fer, chantiers navals</w:t>
      </w:r>
    </w:p>
    <w:p w14:paraId="409A2D19" w14:textId="05C8D8E9" w:rsidR="00277153" w:rsidRDefault="00277153" w:rsidP="00277153">
      <w:r>
        <w:t xml:space="preserve">. Le PIB/habitant, souvent très proche du salaire moyen annuel net (si masse salariale ± = 50% PIB), peut faire office de fil rouge </w:t>
      </w:r>
      <w:r w:rsidR="00750021">
        <w:t xml:space="preserve"> </w:t>
      </w:r>
    </w:p>
    <w:p w14:paraId="3E732591" w14:textId="77777777" w:rsidR="009413FB" w:rsidRDefault="009413FB" w:rsidP="00172107"/>
    <w:p w14:paraId="0C6591EF" w14:textId="77777777" w:rsidR="00DD6AD9" w:rsidRDefault="00172107" w:rsidP="006A7C90">
      <w:pPr>
        <w:rPr>
          <w:rFonts w:eastAsia="Times New Roman" w:cs="Times New Roman"/>
        </w:rPr>
      </w:pPr>
      <w:r>
        <w:rPr>
          <w:rFonts w:eastAsia="Times New Roman" w:cs="Times New Roman"/>
        </w:rPr>
        <w:t>2</w:t>
      </w:r>
      <w:r w:rsidR="00A3343D">
        <w:rPr>
          <w:rFonts w:eastAsia="Times New Roman" w:cs="Times New Roman"/>
        </w:rPr>
        <w:t xml:space="preserve">. </w:t>
      </w:r>
      <w:r w:rsidR="00784CF6" w:rsidRPr="00A3343D">
        <w:rPr>
          <w:rFonts w:eastAsia="Times New Roman" w:cs="Times New Roman"/>
          <w:color w:val="008000"/>
        </w:rPr>
        <w:t xml:space="preserve">Patrick </w:t>
      </w:r>
      <w:r w:rsidR="00A3343D" w:rsidRPr="00A3343D">
        <w:rPr>
          <w:rFonts w:eastAsia="Times New Roman" w:cs="Times New Roman"/>
          <w:color w:val="008000"/>
        </w:rPr>
        <w:t>Belser</w:t>
      </w:r>
      <w:r w:rsidR="00A3343D">
        <w:rPr>
          <w:rFonts w:eastAsia="Times New Roman" w:cs="Times New Roman"/>
        </w:rPr>
        <w:t xml:space="preserve"> </w:t>
      </w:r>
      <w:r w:rsidR="00656FD1">
        <w:rPr>
          <w:rFonts w:eastAsia="Times New Roman" w:cs="Times New Roman"/>
        </w:rPr>
        <w:t xml:space="preserve">rappelle la place du </w:t>
      </w:r>
      <w:r w:rsidR="00656FD1" w:rsidRPr="00656FD1">
        <w:rPr>
          <w:rFonts w:eastAsia="Times New Roman" w:cs="Times New Roman"/>
          <w:i/>
        </w:rPr>
        <w:t>Wage group</w:t>
      </w:r>
      <w:r w:rsidR="00656FD1">
        <w:rPr>
          <w:rFonts w:eastAsia="Times New Roman" w:cs="Times New Roman"/>
        </w:rPr>
        <w:t xml:space="preserve"> </w:t>
      </w:r>
      <w:r w:rsidR="000D6E82">
        <w:rPr>
          <w:rFonts w:eastAsia="Times New Roman" w:cs="Times New Roman"/>
        </w:rPr>
        <w:t xml:space="preserve">qu’il dirige, </w:t>
      </w:r>
      <w:r w:rsidR="00656FD1">
        <w:rPr>
          <w:rFonts w:eastAsia="Times New Roman" w:cs="Times New Roman"/>
        </w:rPr>
        <w:t xml:space="preserve">dans </w:t>
      </w:r>
      <w:r w:rsidR="00656FD1">
        <w:t xml:space="preserve">l’organigramme de l’OIT, nous montre le site web avec le </w:t>
      </w:r>
      <w:r w:rsidR="00656FD1" w:rsidRPr="002F60F8">
        <w:rPr>
          <w:i/>
        </w:rPr>
        <w:t>Rapport mondial sur les salaires</w:t>
      </w:r>
      <w:r w:rsidR="00656FD1">
        <w:t xml:space="preserve">, qui est </w:t>
      </w:r>
      <w:r w:rsidR="000D6E82">
        <w:t>leur</w:t>
      </w:r>
      <w:r w:rsidR="00656FD1">
        <w:t xml:space="preserve"> </w:t>
      </w:r>
      <w:r w:rsidR="000D6E82">
        <w:t>travail principal</w:t>
      </w:r>
      <w:r w:rsidR="00656FD1">
        <w:t xml:space="preserve"> </w:t>
      </w:r>
      <w:r w:rsidR="000D6E82">
        <w:t>auprès du DG de l’OIT</w:t>
      </w:r>
      <w:r w:rsidR="00656FD1">
        <w:t xml:space="preserve">. </w:t>
      </w:r>
      <w:r w:rsidR="000D6E82">
        <w:t>Il</w:t>
      </w:r>
      <w:r w:rsidR="00656FD1">
        <w:t xml:space="preserve"> présente rapidement les </w:t>
      </w:r>
      <w:r w:rsidR="00656FD1">
        <w:rPr>
          <w:rFonts w:eastAsia="Times New Roman" w:cs="Times New Roman"/>
        </w:rPr>
        <w:t xml:space="preserve">indicateurs que l’OIT fournit, en gros depuis 1995 : salaire moyen, rapport salaire moyen/productivité moyenne, part du travail dans le revenu national (labour share), les inégalités de salaires D9/D1, le nombre moyen de salariés couverts par une convention collective. Il mentionne comme </w:t>
      </w:r>
      <w:r w:rsidR="000D6E82">
        <w:rPr>
          <w:rFonts w:eastAsia="Times New Roman" w:cs="Times New Roman"/>
        </w:rPr>
        <w:t xml:space="preserve">exemple de </w:t>
      </w:r>
      <w:r w:rsidR="00656FD1">
        <w:rPr>
          <w:rFonts w:eastAsia="Times New Roman" w:cs="Times New Roman"/>
        </w:rPr>
        <w:t xml:space="preserve">problème statistique le cas des données russes : une partie des salaires sont </w:t>
      </w:r>
      <w:r w:rsidR="000D6E82">
        <w:rPr>
          <w:rFonts w:eastAsia="Times New Roman" w:cs="Times New Roman"/>
        </w:rPr>
        <w:t>très clairement</w:t>
      </w:r>
      <w:r w:rsidR="00656FD1">
        <w:rPr>
          <w:rFonts w:eastAsia="Times New Roman" w:cs="Times New Roman"/>
        </w:rPr>
        <w:t xml:space="preserve"> payés sous la table, ce qui rend très insuffisantes les données officielles collectées. </w:t>
      </w:r>
    </w:p>
    <w:p w14:paraId="2E7294CE" w14:textId="475361C2" w:rsidR="006A7C90" w:rsidRPr="00DD6AD9" w:rsidRDefault="00656FD1" w:rsidP="00DD6AD9">
      <w:pPr>
        <w:ind w:firstLine="284"/>
        <w:rPr>
          <w:rFonts w:eastAsia="Times New Roman" w:cs="Times New Roman"/>
        </w:rPr>
      </w:pPr>
      <w:r>
        <w:rPr>
          <w:rFonts w:eastAsia="Times New Roman" w:cs="Times New Roman"/>
        </w:rPr>
        <w:t>La data-base LABORSTA débute en 1969 (salaire moyen nominal par type d’activité) en monnaies nationales, mais avec d’importantes lacunes (pays en développement, pays socialistes) jusqu’en 1990-2000. Dans les archives, les rapports envoyés par les pays signataires des conventions peuvent remonter jusqu’en 1924, mais concernent plutôt les salaires de l’industrie et sont souvent ex</w:t>
      </w:r>
      <w:r w:rsidR="006A7C90">
        <w:rPr>
          <w:rFonts w:eastAsia="Times New Roman" w:cs="Times New Roman"/>
        </w:rPr>
        <w:t xml:space="preserve">primés en index, non en valeur. </w:t>
      </w:r>
      <w:r w:rsidR="006A7C90" w:rsidRPr="000D6E82">
        <w:rPr>
          <w:rFonts w:eastAsia="Times New Roman" w:cs="Times New Roman"/>
          <w:color w:val="000000" w:themeColor="text1"/>
        </w:rPr>
        <w:t xml:space="preserve">En cas de défaut de données, l’OIT procède parfois par </w:t>
      </w:r>
      <w:r w:rsidR="006A7C90" w:rsidRPr="000D6E82">
        <w:rPr>
          <w:color w:val="000000" w:themeColor="text1"/>
        </w:rPr>
        <w:t xml:space="preserve">extrapolation par rapport à la productivité : </w:t>
      </w:r>
      <w:r w:rsidR="00DD6AD9">
        <w:rPr>
          <w:color w:val="000000" w:themeColor="text1"/>
        </w:rPr>
        <w:t>l’</w:t>
      </w:r>
      <w:r w:rsidR="006A7C90" w:rsidRPr="000D6E82">
        <w:rPr>
          <w:color w:val="000000" w:themeColor="text1"/>
        </w:rPr>
        <w:t>OIT doit produire des chiffres, et prend la</w:t>
      </w:r>
      <w:r w:rsidR="000D6E82">
        <w:rPr>
          <w:color w:val="000000" w:themeColor="text1"/>
        </w:rPr>
        <w:t xml:space="preserve"> méthode la plus « effective », considérant que p</w:t>
      </w:r>
      <w:r w:rsidR="006A7C90" w:rsidRPr="000D6E82">
        <w:rPr>
          <w:color w:val="000000" w:themeColor="text1"/>
        </w:rPr>
        <w:t xml:space="preserve">arfois il vaut mieux un chiffre vraisemblable qu’une absence de chiffre. </w:t>
      </w:r>
      <w:r w:rsidR="00DD6AD9">
        <w:rPr>
          <w:color w:val="000000" w:themeColor="text1"/>
        </w:rPr>
        <w:t>Empiriquement, l’OIT constate que</w:t>
      </w:r>
      <w:r w:rsidR="006A7C90" w:rsidRPr="000D6E82">
        <w:rPr>
          <w:color w:val="000000" w:themeColor="text1"/>
        </w:rPr>
        <w:t xml:space="preserve"> </w:t>
      </w:r>
      <w:r w:rsidR="00DD6AD9">
        <w:rPr>
          <w:color w:val="000000" w:themeColor="text1"/>
        </w:rPr>
        <w:t xml:space="preserve">la </w:t>
      </w:r>
      <w:r w:rsidR="006A7C90" w:rsidRPr="000D6E82">
        <w:rPr>
          <w:color w:val="000000" w:themeColor="text1"/>
        </w:rPr>
        <w:t xml:space="preserve">productivité </w:t>
      </w:r>
      <w:r w:rsidR="00DD6AD9">
        <w:rPr>
          <w:color w:val="000000" w:themeColor="text1"/>
        </w:rPr>
        <w:t xml:space="preserve">exerce </w:t>
      </w:r>
      <w:r w:rsidR="006A7C90" w:rsidRPr="000D6E82">
        <w:rPr>
          <w:color w:val="000000" w:themeColor="text1"/>
        </w:rPr>
        <w:t>sur le</w:t>
      </w:r>
      <w:r w:rsidR="00DD6AD9">
        <w:rPr>
          <w:color w:val="000000" w:themeColor="text1"/>
        </w:rPr>
        <w:t xml:space="preserve"> salaire</w:t>
      </w:r>
      <w:r w:rsidR="006A7C90" w:rsidRPr="000D6E82">
        <w:rPr>
          <w:color w:val="000000" w:themeColor="text1"/>
        </w:rPr>
        <w:t xml:space="preserve"> un effet marginal</w:t>
      </w:r>
      <w:r w:rsidR="00DD6AD9">
        <w:rPr>
          <w:color w:val="000000" w:themeColor="text1"/>
        </w:rPr>
        <w:t xml:space="preserve">, alors que </w:t>
      </w:r>
      <w:r w:rsidR="006A7C90" w:rsidRPr="000D6E82">
        <w:rPr>
          <w:color w:val="000000" w:themeColor="text1"/>
        </w:rPr>
        <w:t xml:space="preserve">l’inverse est </w:t>
      </w:r>
      <w:r w:rsidR="00DD6AD9">
        <w:rPr>
          <w:color w:val="000000" w:themeColor="text1"/>
        </w:rPr>
        <w:t>nettement moins vrai</w:t>
      </w:r>
      <w:r w:rsidR="006A7C90" w:rsidRPr="000D6E82">
        <w:rPr>
          <w:color w:val="000000" w:themeColor="text1"/>
        </w:rPr>
        <w:t xml:space="preserve">.  </w:t>
      </w:r>
    </w:p>
    <w:p w14:paraId="6634C597" w14:textId="6E757BE3" w:rsidR="00D1258A" w:rsidRPr="00656FD1" w:rsidRDefault="00D1258A" w:rsidP="00656FD1">
      <w:pPr>
        <w:ind w:firstLine="284"/>
      </w:pPr>
    </w:p>
    <w:p w14:paraId="118D17FC" w14:textId="4654BFF6" w:rsidR="00D1258A" w:rsidRPr="00277B9A" w:rsidRDefault="00172107" w:rsidP="00D1258A">
      <w:pPr>
        <w:spacing w:line="280" w:lineRule="exact"/>
        <w:rPr>
          <w:rFonts w:asciiTheme="majorBidi" w:hAnsiTheme="majorBidi" w:cstheme="majorBidi"/>
          <w:b/>
          <w:bCs/>
          <w:color w:val="008000"/>
          <w:sz w:val="28"/>
          <w:szCs w:val="28"/>
        </w:rPr>
      </w:pPr>
      <w:r>
        <w:rPr>
          <w:rFonts w:eastAsia="Times New Roman" w:cs="Times New Roman"/>
          <w:color w:val="008000"/>
        </w:rPr>
        <w:t>3</w:t>
      </w:r>
      <w:r w:rsidR="00D1258A" w:rsidRPr="00277B9A">
        <w:rPr>
          <w:rFonts w:eastAsia="Times New Roman" w:cs="Times New Roman"/>
          <w:color w:val="008000"/>
        </w:rPr>
        <w:t>. Aomar Ibourk (Marrakech</w:t>
      </w:r>
      <w:r w:rsidR="000731E4" w:rsidRPr="00277B9A">
        <w:rPr>
          <w:rFonts w:eastAsia="Times New Roman" w:cs="Times New Roman"/>
          <w:color w:val="008000"/>
        </w:rPr>
        <w:t>) :</w:t>
      </w:r>
      <w:r w:rsidR="00D1258A" w:rsidRPr="00277B9A">
        <w:rPr>
          <w:rFonts w:eastAsia="Times New Roman" w:cs="Times New Roman"/>
          <w:color w:val="008000"/>
        </w:rPr>
        <w:t xml:space="preserve"> </w:t>
      </w:r>
      <w:r w:rsidR="00D1258A" w:rsidRPr="00277B9A">
        <w:rPr>
          <w:rFonts w:asciiTheme="majorBidi" w:hAnsiTheme="majorBidi" w:cstheme="majorBidi"/>
          <w:bCs/>
          <w:i/>
          <w:color w:val="008000"/>
        </w:rPr>
        <w:t>Les méthodes de traitement des données manquantes : fondements et applications</w:t>
      </w:r>
    </w:p>
    <w:p w14:paraId="4C48C30C" w14:textId="0B48B2DF" w:rsidR="001D3060" w:rsidRPr="001D3060" w:rsidRDefault="00656FD1" w:rsidP="001D3060">
      <w:r>
        <w:tab/>
      </w:r>
      <w:r w:rsidR="00B4111F">
        <w:t>L’auteur</w:t>
      </w:r>
      <w:r>
        <w:t xml:space="preserve"> commence par la nécessité de tenir compte de la qualité des données mobilisées, de la différence des sources salariale, de la méthode de collecte et des cas plus nombreux qu’on ne le pense, de pluriactivité. Les données manquantes peuvent être complètes ou partielles, nécessitant une repondération. Le taux de non-réponses (</w:t>
      </w:r>
      <w:r w:rsidR="00152813">
        <w:t xml:space="preserve">par exemple </w:t>
      </w:r>
      <w:r>
        <w:t>7%) peut se présenter de manière aléatoire ou non-aléatoire, ce qui orientera en partie le choix du traitement. L’imputation des données manquantes peut se faire de manière simple (des valeurs artificielles remplacent les données manquantes) ou multiple (</w:t>
      </w:r>
      <w:r w:rsidR="00152813">
        <w:t xml:space="preserve">de </w:t>
      </w:r>
      <w:r>
        <w:t>multiples valeurs artificielles</w:t>
      </w:r>
      <w:r w:rsidR="00152813">
        <w:t xml:space="preserve"> remplacent les données manquantes</w:t>
      </w:r>
      <w:r>
        <w:t xml:space="preserve">). </w:t>
      </w:r>
      <w:r>
        <w:br/>
      </w:r>
      <w:r>
        <w:tab/>
        <w:t xml:space="preserve">Quatre groupes de méthodes permettent de traiter les données manquantes : </w:t>
      </w:r>
      <w:r w:rsidR="00152813">
        <w:t xml:space="preserve">méthode </w:t>
      </w:r>
      <w:r>
        <w:t xml:space="preserve">déductive, </w:t>
      </w:r>
      <w:r w:rsidR="00152813">
        <w:t xml:space="preserve">méthode de transposition </w:t>
      </w:r>
      <w:r>
        <w:t xml:space="preserve">par </w:t>
      </w:r>
      <w:r w:rsidR="00152813">
        <w:t>le biais d’</w:t>
      </w:r>
      <w:r>
        <w:t>autres enquêtes</w:t>
      </w:r>
      <w:r w:rsidR="00152813">
        <w:t xml:space="preserve"> comparables</w:t>
      </w:r>
      <w:r>
        <w:t>, modèle régressif, hot-data. L’imputation des données peut se faire par la moyenne, par le ratio, par régression, par proxy</w:t>
      </w:r>
      <w:r w:rsidR="001D3060">
        <w:rPr>
          <w:rStyle w:val="Appelnotedebasdep"/>
        </w:rPr>
        <w:footnoteReference w:id="1"/>
      </w:r>
      <w:r w:rsidR="001D3060">
        <w:t xml:space="preserve">. </w:t>
      </w:r>
    </w:p>
    <w:p w14:paraId="4FC6BE8F" w14:textId="64EED9EF" w:rsidR="00656FD1" w:rsidRDefault="00152813" w:rsidP="001D3060">
      <w:pPr>
        <w:ind w:firstLine="284"/>
      </w:pPr>
      <w:r>
        <w:t>Le choix final s’opère en fonction du nombre de données manquantes, de leur nature (nominale, discrète) et de la raison de leur absence. En effet le défaut de données peut être d’origi</w:t>
      </w:r>
      <w:r w:rsidR="006A7C90">
        <w:t>ne uniforme (</w:t>
      </w:r>
      <w:r>
        <w:t xml:space="preserve">probabilité constante), </w:t>
      </w:r>
      <w:r w:rsidR="006A7C90">
        <w:t xml:space="preserve">aléatoire de type </w:t>
      </w:r>
      <w:r w:rsidRPr="00152813">
        <w:rPr>
          <w:i/>
        </w:rPr>
        <w:t>missing at random</w:t>
      </w:r>
      <w:r>
        <w:t xml:space="preserve"> (</w:t>
      </w:r>
      <w:r w:rsidR="006A7C90">
        <w:t xml:space="preserve">poids des </w:t>
      </w:r>
      <w:r>
        <w:t xml:space="preserve">variables auxiliaires) ou complexe (mix </w:t>
      </w:r>
      <w:r w:rsidR="006A7C90">
        <w:t xml:space="preserve">plus ou moins composite </w:t>
      </w:r>
      <w:r>
        <w:t xml:space="preserve">des deux). </w:t>
      </w:r>
    </w:p>
    <w:p w14:paraId="03767AFE" w14:textId="12BD6674" w:rsidR="00656FD1" w:rsidRDefault="00152813" w:rsidP="006A7C90">
      <w:r>
        <w:tab/>
        <w:t xml:space="preserve">L’analyse doit s’effectuer par continent, par région (l’Afrique par exemple, n’est pas homogène), par quartile etc. </w:t>
      </w:r>
      <w:r w:rsidR="006A7C90">
        <w:t>Une fois le travail réalisé, o</w:t>
      </w:r>
      <w:r>
        <w:t xml:space="preserve">n observe </w:t>
      </w:r>
      <w:r w:rsidR="006A7C90">
        <w:t xml:space="preserve">empiriquement </w:t>
      </w:r>
      <w:r>
        <w:t>une grande proximité entre un échantillon complété (données manquantes « reconstituées ») et un échantillon complet.</w:t>
      </w:r>
    </w:p>
    <w:p w14:paraId="76BF6F72" w14:textId="77777777" w:rsidR="00EC33E6" w:rsidRDefault="00EC33E6" w:rsidP="00AF0DC9"/>
    <w:p w14:paraId="727C5167" w14:textId="4865717C" w:rsidR="00D1258A" w:rsidRDefault="00AF0DC9" w:rsidP="00AF0DC9">
      <w:r>
        <w:t xml:space="preserve">4. </w:t>
      </w:r>
      <w:r w:rsidR="00784CF6">
        <w:t xml:space="preserve">À partir de </w:t>
      </w:r>
      <w:r w:rsidR="00EC33E6">
        <w:t>16.00</w:t>
      </w:r>
      <w:r w:rsidR="00784CF6">
        <w:t xml:space="preserve">, nous effectuons la </w:t>
      </w:r>
      <w:r w:rsidR="00784CF6" w:rsidRPr="00207358">
        <w:rPr>
          <w:color w:val="00B050"/>
        </w:rPr>
        <w:t>v</w:t>
      </w:r>
      <w:r w:rsidR="00D1258A" w:rsidRPr="00207358">
        <w:rPr>
          <w:color w:val="00B050"/>
        </w:rPr>
        <w:t xml:space="preserve">isite des archives </w:t>
      </w:r>
      <w:r w:rsidR="00D1258A">
        <w:t xml:space="preserve">de l’OIT avec </w:t>
      </w:r>
      <w:r w:rsidR="00784CF6">
        <w:t xml:space="preserve">un des archivistes </w:t>
      </w:r>
      <w:r w:rsidR="00207358">
        <w:t xml:space="preserve">adjoints </w:t>
      </w:r>
      <w:r w:rsidR="00EC33E6">
        <w:t>qui se montre très accueillant</w:t>
      </w:r>
      <w:r w:rsidR="00207358">
        <w:t>. L</w:t>
      </w:r>
      <w:r w:rsidR="00784CF6">
        <w:t xml:space="preserve">e directeur Remo Becci effectue une brève apparition, </w:t>
      </w:r>
      <w:r w:rsidR="00207358">
        <w:t xml:space="preserve">revenant directement d’une mission de </w:t>
      </w:r>
      <w:r w:rsidR="00784CF6">
        <w:t>deux semaines en Afrique. Nous considérons avec attention les rayonnages d’anciens répertoires d’archives, rédig</w:t>
      </w:r>
      <w:r w:rsidR="00207358">
        <w:t xml:space="preserve">és à la main, et la salle </w:t>
      </w:r>
      <w:r w:rsidR="00784CF6">
        <w:t>qui accueille les lecteur</w:t>
      </w:r>
      <w:r w:rsidR="00887E9F">
        <w:t>s. Aujourd’hui tous les documents depuis 1945 sont répertorié</w:t>
      </w:r>
      <w:r w:rsidR="00784CF6">
        <w:t xml:space="preserve">s </w:t>
      </w:r>
      <w:r w:rsidR="00887E9F">
        <w:t xml:space="preserve">complètement </w:t>
      </w:r>
      <w:r w:rsidR="00784CF6">
        <w:t xml:space="preserve">dans la base de données archivistique (interne) de l’OIT, ce qui évite de compulser les répertoires papiers. Les archives sont ouvertes du lundi au vendredi de 9 h à 17 h. Ecrire ou téléphoner avant. </w:t>
      </w:r>
    </w:p>
    <w:p w14:paraId="79BFD06F" w14:textId="2BE63E68" w:rsidR="00784CF6" w:rsidRDefault="00784CF6" w:rsidP="00784CF6">
      <w:r>
        <w:tab/>
        <w:t>Peuvent intéresser notre travail</w:t>
      </w:r>
    </w:p>
    <w:p w14:paraId="3DCAE5FF" w14:textId="503B8424" w:rsidR="00784CF6" w:rsidRDefault="00784CF6" w:rsidP="00784CF6">
      <w:r w:rsidRPr="00207358">
        <w:rPr>
          <w:color w:val="000000" w:themeColor="text1"/>
        </w:rPr>
        <w:t xml:space="preserve">. </w:t>
      </w:r>
      <w:r w:rsidRPr="00207358">
        <w:rPr>
          <w:i/>
          <w:color w:val="000000" w:themeColor="text1"/>
        </w:rPr>
        <w:t>L’enquête annuelle salaires d’octobre</w:t>
      </w:r>
      <w:r>
        <w:t>, débutée en 1924 et interrompue en 2004 ou 2008. Pour l’Entre-deux-guerres, le taux de réponse est limité car les documents conservés représentent deux boîtes pour la période 1924-39</w:t>
      </w:r>
      <w:r>
        <w:br/>
        <w:t xml:space="preserve">. </w:t>
      </w:r>
      <w:r w:rsidRPr="00207358">
        <w:rPr>
          <w:i/>
          <w:color w:val="000000" w:themeColor="text1"/>
        </w:rPr>
        <w:t>L’Annuaire des Statistiques du Travail</w:t>
      </w:r>
      <w:r>
        <w:t xml:space="preserve">, </w:t>
      </w:r>
      <w:r w:rsidRPr="00784CF6">
        <w:rPr>
          <w:i/>
        </w:rPr>
        <w:t>Yearbook of Labour Statistics</w:t>
      </w:r>
      <w:r>
        <w:t>, qui commence en 193</w:t>
      </w:r>
      <w:r w:rsidR="004F79E0">
        <w:t>5-36</w:t>
      </w:r>
      <w:bookmarkStart w:id="0" w:name="_GoBack"/>
      <w:bookmarkEnd w:id="0"/>
      <w:r>
        <w:t xml:space="preserve">. Il contient une page de sources et méthodes. Chaque année, surtout après 1945, il offre des séries de salaires par pays (la plupart), mais tantôt en heures, tantôt en journées, en semaines ou en mois, exclusivement en monnaie nationale (convertir au taux de change), pour certains secteurs (industrie surreprésentée, agriculture sous-représentée). Harvey </w:t>
      </w:r>
      <w:r w:rsidR="00207358">
        <w:t xml:space="preserve">Clavien </w:t>
      </w:r>
      <w:r>
        <w:t>a promis de se renseigner, car si on trouve toute la collection certainement à la BNF ou même peut-être à Cujas (d’où ils ne sortent pas), il pense qu’une numérisation a été entreprise en format PDF et pourrait être mise à notre disposition. Un sondage sur l’année 1952 montre qu’il y a environ une centaine de pages sur les salaires (les autres concernent la durée du travail, les conditions de travail etc.)</w:t>
      </w:r>
    </w:p>
    <w:p w14:paraId="6F4F6415" w14:textId="60B91E21" w:rsidR="00784CF6" w:rsidRDefault="00784CF6" w:rsidP="00784CF6">
      <w:r>
        <w:t xml:space="preserve">. </w:t>
      </w:r>
      <w:r w:rsidRPr="00207358">
        <w:rPr>
          <w:color w:val="000000" w:themeColor="text1"/>
        </w:rPr>
        <w:t xml:space="preserve">Des enquêtes spécifiques, </w:t>
      </w:r>
      <w:r>
        <w:t xml:space="preserve">qu’il faudrait identifier dans la base de données : </w:t>
      </w:r>
      <w:r w:rsidRPr="00887E9F">
        <w:rPr>
          <w:i/>
        </w:rPr>
        <w:t xml:space="preserve">Les salaires </w:t>
      </w:r>
      <w:r w:rsidR="00887E9F" w:rsidRPr="00887E9F">
        <w:rPr>
          <w:i/>
        </w:rPr>
        <w:t>agricoles aux Philippines 1950-1975</w:t>
      </w:r>
      <w:r w:rsidR="00887E9F">
        <w:t xml:space="preserve"> par exemple. </w:t>
      </w:r>
    </w:p>
    <w:p w14:paraId="37DB97DC" w14:textId="658CC264" w:rsidR="00207358" w:rsidRDefault="00784CF6" w:rsidP="00EC33E6">
      <w:pPr>
        <w:widowControl w:val="0"/>
        <w:autoSpaceDE w:val="0"/>
        <w:autoSpaceDN w:val="0"/>
        <w:adjustRightInd w:val="0"/>
        <w:rPr>
          <w:rFonts w:cs="Times"/>
        </w:rPr>
      </w:pPr>
      <w:r>
        <w:t xml:space="preserve">. </w:t>
      </w:r>
      <w:r w:rsidR="00207358" w:rsidRPr="00301D98">
        <w:rPr>
          <w:color w:val="000000" w:themeColor="text1"/>
        </w:rPr>
        <w:t xml:space="preserve">Un </w:t>
      </w:r>
      <w:r w:rsidRPr="00301D98">
        <w:rPr>
          <w:i/>
          <w:color w:val="000000" w:themeColor="text1"/>
        </w:rPr>
        <w:t>Rapport sur le salaire minimum</w:t>
      </w:r>
      <w:r w:rsidRPr="00301D98">
        <w:rPr>
          <w:color w:val="000000" w:themeColor="text1"/>
        </w:rPr>
        <w:t>, a été rédigé il y a quelques années,</w:t>
      </w:r>
      <w:r w:rsidR="00EC33E6" w:rsidRPr="00301D98">
        <w:rPr>
          <w:color w:val="000000" w:themeColor="text1"/>
        </w:rPr>
        <w:t xml:space="preserve"> et donne </w:t>
      </w:r>
      <w:r w:rsidR="00E74717">
        <w:rPr>
          <w:color w:val="000000" w:themeColor="text1"/>
        </w:rPr>
        <w:t xml:space="preserve">des références aux </w:t>
      </w:r>
      <w:r w:rsidR="00EC33E6" w:rsidRPr="00301D98">
        <w:rPr>
          <w:color w:val="000000" w:themeColor="text1"/>
        </w:rPr>
        <w:t>série</w:t>
      </w:r>
      <w:r w:rsidR="00E74717">
        <w:rPr>
          <w:color w:val="000000" w:themeColor="text1"/>
        </w:rPr>
        <w:t>s</w:t>
      </w:r>
      <w:r w:rsidR="00EC33E6" w:rsidRPr="00301D98">
        <w:rPr>
          <w:color w:val="000000" w:themeColor="text1"/>
        </w:rPr>
        <w:t xml:space="preserve"> historique</w:t>
      </w:r>
      <w:r w:rsidR="00E74717">
        <w:rPr>
          <w:color w:val="000000" w:themeColor="text1"/>
        </w:rPr>
        <w:t>s</w:t>
      </w:r>
      <w:r w:rsidRPr="00301D98">
        <w:rPr>
          <w:color w:val="000000" w:themeColor="text1"/>
        </w:rPr>
        <w:t xml:space="preserve">. </w:t>
      </w:r>
      <w:r w:rsidR="00EC33E6" w:rsidRPr="00EC33E6">
        <w:t xml:space="preserve">F. </w:t>
      </w:r>
      <w:r w:rsidR="00207358" w:rsidRPr="00EC33E6">
        <w:rPr>
          <w:rFonts w:cs="Times"/>
        </w:rPr>
        <w:t xml:space="preserve">Eyraud, </w:t>
      </w:r>
      <w:r w:rsidR="00EC33E6" w:rsidRPr="00EC33E6">
        <w:rPr>
          <w:rFonts w:cs="Times"/>
        </w:rPr>
        <w:t xml:space="preserve">C. </w:t>
      </w:r>
      <w:r w:rsidR="00207358" w:rsidRPr="00EC33E6">
        <w:rPr>
          <w:rFonts w:cs="Times"/>
        </w:rPr>
        <w:t xml:space="preserve">Saget, </w:t>
      </w:r>
      <w:r w:rsidR="00207358" w:rsidRPr="00EC33E6">
        <w:rPr>
          <w:rFonts w:cs="Times"/>
          <w:i/>
          <w:iCs/>
        </w:rPr>
        <w:t>The fundamentals of minimum wage fixing</w:t>
      </w:r>
      <w:r w:rsidR="00EC33E6" w:rsidRPr="00EC33E6">
        <w:rPr>
          <w:rFonts w:cs="Times"/>
          <w:i/>
          <w:iCs/>
        </w:rPr>
        <w:t xml:space="preserve">, </w:t>
      </w:r>
      <w:r w:rsidR="00EC33E6">
        <w:rPr>
          <w:rFonts w:cs="Times"/>
        </w:rPr>
        <w:t xml:space="preserve">Genève, BIT, 2005, 141 p. </w:t>
      </w:r>
      <w:r w:rsidR="00E74717">
        <w:rPr>
          <w:rFonts w:cs="Times"/>
        </w:rPr>
        <w:t xml:space="preserve">en ligne. </w:t>
      </w:r>
    </w:p>
    <w:p w14:paraId="3195999F" w14:textId="4823EDCE" w:rsidR="006A7C90" w:rsidRDefault="00887E9F" w:rsidP="006A7C90">
      <w:r>
        <w:t xml:space="preserve">. </w:t>
      </w:r>
      <w:r w:rsidR="00EC33E6">
        <w:t>Dans</w:t>
      </w:r>
      <w:r>
        <w:t xml:space="preserve"> les dossiers par pays, figurent aussi des dossiers de correspondance qui témoignent des échanges sur la collecte des données entreprises par l’OIT, la méthodologie suivie, mais ne présentent pas (toujours) des statistiques. </w:t>
      </w:r>
    </w:p>
    <w:p w14:paraId="6D55E4BB" w14:textId="77777777" w:rsidR="006A7C90" w:rsidRDefault="006A7C90" w:rsidP="006A7C90">
      <w:pPr>
        <w:ind w:firstLine="284"/>
      </w:pPr>
    </w:p>
    <w:p w14:paraId="70F820E0" w14:textId="7A12382B" w:rsidR="006A7C90" w:rsidRPr="006A7C90" w:rsidRDefault="006A7C90" w:rsidP="00063CD4">
      <w:pPr>
        <w:rPr>
          <w:b/>
          <w:color w:val="FF6600"/>
        </w:rPr>
      </w:pPr>
      <w:r w:rsidRPr="006A7C90">
        <w:rPr>
          <w:b/>
          <w:color w:val="FF6600"/>
        </w:rPr>
        <w:t>———————————————session 2———————————————————</w:t>
      </w:r>
    </w:p>
    <w:p w14:paraId="6AAF3302" w14:textId="5802BBEB" w:rsidR="00D1258A" w:rsidRPr="001E216A" w:rsidRDefault="00EC33E6" w:rsidP="00063CD4">
      <w:pPr>
        <w:rPr>
          <w:b/>
        </w:rPr>
      </w:pPr>
      <w:r>
        <w:rPr>
          <w:b/>
        </w:rPr>
        <w:t>Vendredi matin</w:t>
      </w:r>
      <w:r w:rsidR="00C92DAF">
        <w:rPr>
          <w:b/>
        </w:rPr>
        <w:t xml:space="preserve"> </w:t>
      </w:r>
      <w:r w:rsidR="00C37BF6">
        <w:rPr>
          <w:color w:val="0000FF"/>
        </w:rPr>
        <w:t>Expériences de construction de bases de données et d’analyses de convergence</w:t>
      </w:r>
    </w:p>
    <w:p w14:paraId="3E325B16" w14:textId="68BA9FB3" w:rsidR="00063CD4" w:rsidRDefault="00024AF2" w:rsidP="00063CD4">
      <w:pPr>
        <w:rPr>
          <w:color w:val="0000FF"/>
        </w:rPr>
      </w:pPr>
      <w:r>
        <w:rPr>
          <w:color w:val="0000FF"/>
        </w:rPr>
        <w:t xml:space="preserve"> </w:t>
      </w:r>
    </w:p>
    <w:p w14:paraId="636F4171" w14:textId="4F90B583" w:rsidR="00D1258A" w:rsidRDefault="00712EB7" w:rsidP="00063CD4">
      <w:pPr>
        <w:rPr>
          <w:i/>
          <w:color w:val="008000"/>
        </w:rPr>
      </w:pPr>
      <w:r>
        <w:rPr>
          <w:color w:val="008000"/>
        </w:rPr>
        <w:t xml:space="preserve">5. </w:t>
      </w:r>
      <w:r w:rsidR="00D1258A" w:rsidRPr="0092560F">
        <w:rPr>
          <w:color w:val="008000"/>
        </w:rPr>
        <w:t xml:space="preserve">Pim de Zwart (Wageningen University, Netherlands), </w:t>
      </w:r>
      <w:r w:rsidR="00D1258A" w:rsidRPr="0092560F">
        <w:rPr>
          <w:i/>
          <w:color w:val="008000"/>
        </w:rPr>
        <w:t>Salaires réels depuis 1820, les enseignements d’une méthodologie statistique en longue période</w:t>
      </w:r>
    </w:p>
    <w:p w14:paraId="63C1E974" w14:textId="0B725898" w:rsidR="004068E4" w:rsidRDefault="001D3060" w:rsidP="004068E4">
      <w:r>
        <w:tab/>
        <w:t xml:space="preserve">Avec Bas Van Leeuwen et </w:t>
      </w:r>
      <w:r w:rsidR="00254EE7">
        <w:t xml:space="preserve">son </w:t>
      </w:r>
      <w:r>
        <w:t>épouse, ils ont construit un indice de bien-être (</w:t>
      </w:r>
      <w:r w:rsidRPr="001D3060">
        <w:rPr>
          <w:i/>
        </w:rPr>
        <w:t>Well-being</w:t>
      </w:r>
      <w:r>
        <w:t>) fondé sur les salaires réels (</w:t>
      </w:r>
      <w:r w:rsidRPr="001D3060">
        <w:rPr>
          <w:i/>
        </w:rPr>
        <w:t>real wages</w:t>
      </w:r>
      <w:r>
        <w:t xml:space="preserve">) depuis 1820 </w:t>
      </w:r>
      <w:r w:rsidR="004068E4">
        <w:t>dans le monde</w:t>
      </w:r>
      <w:r>
        <w:t xml:space="preserve">. Ce travail lui a pris une année complète à plein temps moyennant un contrat avec l’OCDE. La méthode </w:t>
      </w:r>
      <w:r w:rsidR="00254EE7">
        <w:t xml:space="preserve">a </w:t>
      </w:r>
      <w:r>
        <w:t>consist</w:t>
      </w:r>
      <w:r w:rsidR="00254EE7">
        <w:t>é</w:t>
      </w:r>
      <w:r>
        <w:t xml:space="preserve"> à élaborer un panier de biens permettant d’assurer la subsistance</w:t>
      </w:r>
      <w:r w:rsidR="00F65E8C">
        <w:t xml:space="preserve"> du manœuvre</w:t>
      </w:r>
      <w:r>
        <w:t>, défini</w:t>
      </w:r>
      <w:r w:rsidR="00254EE7">
        <w:t>ssan</w:t>
      </w:r>
      <w:r>
        <w:t>t d’une certaine manière, la ligne de pauvreté (Allen, 2009), avec un apport minimum de calories et de protéines par jour. Ce panier (</w:t>
      </w:r>
      <w:r w:rsidRPr="001D3060">
        <w:rPr>
          <w:i/>
        </w:rPr>
        <w:t>basket of goods</w:t>
      </w:r>
      <w:r>
        <w:t>) concerne le salarié non qualifié du bâtiment, secteur à la fois répandu dans l’espace et continu dans le temps (</w:t>
      </w:r>
      <w:r w:rsidR="00060476">
        <w:t>les auteurs sont conscients des changements techniques</w:t>
      </w:r>
      <w:r>
        <w:t>). Le contenu du panier n’est pas le même</w:t>
      </w:r>
      <w:r w:rsidR="00060476">
        <w:t xml:space="preserve"> dans les régions choisies et le</w:t>
      </w:r>
      <w:r w:rsidR="004068E4">
        <w:t xml:space="preserve"> nombre de pays concernés est passé d’une cinquantaine dans les années 1950 à </w:t>
      </w:r>
      <w:r w:rsidR="00060476">
        <w:t>plus de 80</w:t>
      </w:r>
      <w:r w:rsidR="004068E4">
        <w:t xml:space="preserve"> dans les années 1990. </w:t>
      </w:r>
    </w:p>
    <w:p w14:paraId="4FBEF013" w14:textId="45B07D3D" w:rsidR="001D3060" w:rsidRDefault="001D3060" w:rsidP="004068E4">
      <w:pPr>
        <w:ind w:firstLine="284"/>
      </w:pPr>
      <w:r>
        <w:t xml:space="preserve">Les données sont disponibles </w:t>
      </w:r>
      <w:r w:rsidR="004068E4">
        <w:t xml:space="preserve">sur le portail </w:t>
      </w:r>
      <w:r w:rsidR="004068E4" w:rsidRPr="00EC33E6">
        <w:rPr>
          <w:color w:val="0070C0"/>
        </w:rPr>
        <w:t>www.clio-infra.eu</w:t>
      </w:r>
      <w:r w:rsidR="00EC33E6" w:rsidRPr="00EC33E6">
        <w:rPr>
          <w:color w:val="0070C0"/>
        </w:rPr>
        <w:t>/ Clio-Infra</w:t>
      </w:r>
      <w:r w:rsidR="00EC33E6">
        <w:t xml:space="preserve">, </w:t>
      </w:r>
      <w:r w:rsidR="004068E4">
        <w:t>un réseau international d’historiens de l’économie qui collectent des données sur les différentes facettes de l’évolution de l’économie mondiale entre 1500 et 2010. Elles prolongent et utilisent les travaux d’Allen sur l’évolution du s</w:t>
      </w:r>
      <w:r w:rsidR="00060476">
        <w:t>alaire réel depuis le Moyen-Âge, les</w:t>
      </w:r>
      <w:r w:rsidR="004068E4">
        <w:t xml:space="preserve"> </w:t>
      </w:r>
      <w:r w:rsidR="004068E4" w:rsidRPr="007A0A35">
        <w:rPr>
          <w:i/>
        </w:rPr>
        <w:t>Colonial Blue Books</w:t>
      </w:r>
      <w:r w:rsidR="004068E4">
        <w:t xml:space="preserve"> (18</w:t>
      </w:r>
      <w:r w:rsidR="007A0A35">
        <w:t>4</w:t>
      </w:r>
      <w:r w:rsidR="00060476">
        <w:t>0-1912) de l’empire britannique ainsi que</w:t>
      </w:r>
      <w:r w:rsidR="004068E4">
        <w:t xml:space="preserve"> l’enquête OIT d’octobre depuis 1924. </w:t>
      </w:r>
    </w:p>
    <w:p w14:paraId="6D2C96F5" w14:textId="1EC164FA" w:rsidR="007A0A35" w:rsidRDefault="004068E4" w:rsidP="007A0A35">
      <w:pPr>
        <w:ind w:firstLine="284"/>
      </w:pPr>
      <w:r>
        <w:t xml:space="preserve">Les problèmes se sont présentés en grand nombre : </w:t>
      </w:r>
    </w:p>
    <w:p w14:paraId="24782E77" w14:textId="145FC947" w:rsidR="004068E4" w:rsidRDefault="007A0A35" w:rsidP="007A0A35">
      <w:r>
        <w:t xml:space="preserve">. </w:t>
      </w:r>
      <w:r w:rsidR="000731E4">
        <w:t>La</w:t>
      </w:r>
      <w:r w:rsidR="004068E4">
        <w:t xml:space="preserve"> disponibilité d’un salaire minimum et d’un salaire maxim</w:t>
      </w:r>
      <w:r w:rsidR="00060476">
        <w:t>um pour le groupe (</w:t>
      </w:r>
      <w:r w:rsidR="004068E4">
        <w:t xml:space="preserve">différences entre entreprises, </w:t>
      </w:r>
      <w:r>
        <w:t xml:space="preserve">types de chantiers, </w:t>
      </w:r>
      <w:r w:rsidR="004068E4">
        <w:t>régions etc.), ce qui obligeait</w:t>
      </w:r>
      <w:r>
        <w:t xml:space="preserve"> à calculer la moyenne</w:t>
      </w:r>
    </w:p>
    <w:p w14:paraId="03959334" w14:textId="008C275C" w:rsidR="007A0A35" w:rsidRDefault="007A0A35" w:rsidP="007A0A35">
      <w:r>
        <w:t>. Les changements de mode de consommation : comme le panier restait le même par convention, il pouvait être difficile de trouver le prix des bougies dans les périodes récentes</w:t>
      </w:r>
    </w:p>
    <w:p w14:paraId="2C743118" w14:textId="78FA4BAF" w:rsidR="007A0A35" w:rsidRDefault="00060476" w:rsidP="007A0A35">
      <w:r>
        <w:t xml:space="preserve">. La durée du travail, </w:t>
      </w:r>
      <w:r w:rsidR="007A0A35">
        <w:t>un vrai casse-tête : nombre de jours par an, d’heure par jour etc. La convention a été 250 jours par an, ce qui est raisonnable</w:t>
      </w:r>
      <w:r w:rsidR="007A0A35">
        <w:br/>
        <w:t>. La taille des familles est variable</w:t>
      </w:r>
      <w:r>
        <w:t xml:space="preserve"> (</w:t>
      </w:r>
      <w:r w:rsidR="00481D56">
        <w:t xml:space="preserve">le manœuvre devant </w:t>
      </w:r>
      <w:r w:rsidR="007A0A35">
        <w:t>« nourrir sa famille »</w:t>
      </w:r>
      <w:r>
        <w:t>)</w:t>
      </w:r>
    </w:p>
    <w:p w14:paraId="37CA5F9C" w14:textId="6C2CDBF2" w:rsidR="007A0A35" w:rsidRDefault="007A0A35" w:rsidP="007A0A35">
      <w:r>
        <w:t>. La représentativité du manœuvre du BTP évolue dans le temps et selon les pays</w:t>
      </w:r>
    </w:p>
    <w:p w14:paraId="69C2AB27" w14:textId="2CD35E72" w:rsidR="007A0A35" w:rsidRDefault="007A0A35" w:rsidP="007A0A35">
      <w:r>
        <w:t xml:space="preserve">. Les variations régionales de données disponibles sont </w:t>
      </w:r>
      <w:r w:rsidR="00D9308E">
        <w:t>parfois significatives</w:t>
      </w:r>
      <w:r>
        <w:t xml:space="preserve"> : </w:t>
      </w:r>
      <w:r w:rsidR="00D9308E">
        <w:t xml:space="preserve">ils disposaient de </w:t>
      </w:r>
      <w:r>
        <w:t xml:space="preserve">salaires seulement pour une ville du pays, ou cinq villes, ou les grandes villes, rarement </w:t>
      </w:r>
      <w:r w:rsidR="00D9308E">
        <w:t xml:space="preserve">pour </w:t>
      </w:r>
      <w:r>
        <w:t>les campagnes.</w:t>
      </w:r>
    </w:p>
    <w:p w14:paraId="43642D0E" w14:textId="43DB0152" w:rsidR="007A0A35" w:rsidRDefault="007A0A35" w:rsidP="007A0A35">
      <w:r>
        <w:tab/>
        <w:t>Les tendances observées dans les régions standard de l’OCDE sont toutes à l’augmentation, surtout après 1950, avec une nette avance pour les colonies anglo-saxonnes comme USA, Canada ou Australie (</w:t>
      </w:r>
      <w:r w:rsidRPr="007A0A35">
        <w:rPr>
          <w:i/>
        </w:rPr>
        <w:t>Western off-shoots</w:t>
      </w:r>
      <w:r>
        <w:t>). Les courbes (voir powerpoint) dépendent aussi du niveau des prix réels (</w:t>
      </w:r>
      <w:r w:rsidR="00D9308E">
        <w:t xml:space="preserve">qui sont </w:t>
      </w:r>
      <w:r>
        <w:t xml:space="preserve">bas dans les off-shoots) et du volume de la population (en 1980-2000, les chiffres de l’Asie du Sud-est semblent trop proches de ceux de l’Afrique). </w:t>
      </w:r>
      <w:r w:rsidR="00F65E8C">
        <w:t>Afrique et Asie sont autour du minimum vital (</w:t>
      </w:r>
      <w:r w:rsidR="00F65E8C" w:rsidRPr="00F65E8C">
        <w:rPr>
          <w:i/>
        </w:rPr>
        <w:t>subsistence level</w:t>
      </w:r>
      <w:r w:rsidR="00F65E8C">
        <w:t xml:space="preserve">) longtemps dans le siècle, au moins jusqu’aux années 1950-60. </w:t>
      </w:r>
    </w:p>
    <w:p w14:paraId="71C6D761" w14:textId="63271ADD" w:rsidR="00F65E8C" w:rsidRDefault="00F65E8C" w:rsidP="007A0A35">
      <w:r>
        <w:tab/>
        <w:t>La prime à la qualification (</w:t>
      </w:r>
      <w:r w:rsidRPr="00F65E8C">
        <w:rPr>
          <w:i/>
        </w:rPr>
        <w:t>skill premium</w:t>
      </w:r>
      <w:r>
        <w:t>) peut se calculer en comparant le salaire du manœuvre et celui de l’artisan (</w:t>
      </w:r>
      <w:r w:rsidRPr="00F65E8C">
        <w:rPr>
          <w:i/>
        </w:rPr>
        <w:t>craftsman</w:t>
      </w:r>
      <w:r>
        <w:t xml:space="preserve">) dans le BTP. En 1820, l’artisan gagne deux fois ce que gagne le manœuvre, en 2000, seulement environ un tiers de plus (38%). </w:t>
      </w:r>
    </w:p>
    <w:p w14:paraId="7A2C03B1" w14:textId="7DDA8168" w:rsidR="00F65E8C" w:rsidRDefault="00F65E8C" w:rsidP="007A0A35">
      <w:r>
        <w:tab/>
        <w:t xml:space="preserve">Le gender wage gap diminue dans le monde depuis 1950, il est évalué par la méthode choisie à 20% en moyenne en 1950 et à 5% en 2000. </w:t>
      </w:r>
    </w:p>
    <w:p w14:paraId="432AFC8A" w14:textId="05968CB9" w:rsidR="00F65E8C" w:rsidRDefault="00F65E8C" w:rsidP="00F65E8C">
      <w:pPr>
        <w:ind w:firstLine="284"/>
      </w:pPr>
      <w:r>
        <w:t xml:space="preserve">La corrélation entre salaire réel et PIB/h est très forte, de l’ordre de 0,6 en début de période et de 0,95 en fin de période. </w:t>
      </w:r>
    </w:p>
    <w:p w14:paraId="79102181" w14:textId="66DE32FE" w:rsidR="00D46FEE" w:rsidRDefault="00F65E8C" w:rsidP="00D46FEE">
      <w:r>
        <w:tab/>
        <w:t>Les objectifs de publication ultérieure et les recherches en cours tournent autour de quatre ou cinq thèmes :</w:t>
      </w:r>
      <w:r w:rsidR="00A4166B">
        <w:t xml:space="preserve"> </w:t>
      </w:r>
      <w:r>
        <w:t>améliorer la data-base avec plus de don</w:t>
      </w:r>
      <w:r w:rsidR="00143853">
        <w:t xml:space="preserve">nées de prix, pour alimenter un </w:t>
      </w:r>
      <w:r w:rsidR="00143853" w:rsidRPr="00A4166B">
        <w:rPr>
          <w:i/>
        </w:rPr>
        <w:t>basket generator</w:t>
      </w:r>
      <w:r w:rsidR="00143853">
        <w:t xml:space="preserve">, MOATSOS, </w:t>
      </w:r>
      <w:r w:rsidR="00A4166B">
        <w:t>déployer des séries de salaires pour 42 activités professionnelles (secteurs) et différents nive</w:t>
      </w:r>
      <w:r w:rsidR="00D9308E">
        <w:t>aux de qualification, creuser la question du</w:t>
      </w:r>
      <w:r w:rsidR="00A4166B">
        <w:t xml:space="preserve"> gender wage gap et la participation des femmes et des enfants au marché du travail, affiner la question de la durée du travai</w:t>
      </w:r>
      <w:r w:rsidR="00D46FEE">
        <w:t xml:space="preserve">l et les différences régionales, évaluer la part des salaires dans le revenu des ménages. </w:t>
      </w:r>
    </w:p>
    <w:p w14:paraId="71EAD84B" w14:textId="72208179" w:rsidR="00745180" w:rsidRDefault="00745180" w:rsidP="00254EE7">
      <w:pPr>
        <w:ind w:firstLine="284"/>
      </w:pPr>
      <w:r w:rsidRPr="00745180">
        <w:t xml:space="preserve">Vers la fin de son exposé, Pim présente aussi </w:t>
      </w:r>
      <w:r w:rsidRPr="00D9308E">
        <w:rPr>
          <w:color w:val="000000" w:themeColor="text1"/>
        </w:rPr>
        <w:t>quelques</w:t>
      </w:r>
      <w:r w:rsidR="00A4166B" w:rsidRPr="00D9308E">
        <w:rPr>
          <w:color w:val="000000" w:themeColor="text1"/>
        </w:rPr>
        <w:t xml:space="preserve"> bases de données comparables </w:t>
      </w:r>
      <w:r w:rsidR="00254EE7">
        <w:t>(voir fiche annexe)</w:t>
      </w:r>
    </w:p>
    <w:p w14:paraId="1B0398A5" w14:textId="6D70023B" w:rsidR="0086598C" w:rsidRDefault="00254EE7">
      <w:pPr>
        <w:rPr>
          <w:rFonts w:eastAsia="Times New Roman" w:cs="Times New Roman"/>
          <w:color w:val="008000"/>
        </w:rPr>
      </w:pPr>
      <w:r>
        <w:t xml:space="preserve"> </w:t>
      </w:r>
    </w:p>
    <w:p w14:paraId="3E2E6AC3" w14:textId="7C1117F9" w:rsidR="00D1258A" w:rsidRPr="0092560F" w:rsidRDefault="0086598C" w:rsidP="00063CD4">
      <w:pPr>
        <w:rPr>
          <w:rFonts w:eastAsia="Times New Roman" w:cs="Times New Roman"/>
          <w:color w:val="008000"/>
        </w:rPr>
      </w:pPr>
      <w:r>
        <w:rPr>
          <w:rFonts w:eastAsia="Times New Roman" w:cs="Times New Roman"/>
          <w:color w:val="008000"/>
        </w:rPr>
        <w:t xml:space="preserve">6. </w:t>
      </w:r>
      <w:r w:rsidR="00D1258A" w:rsidRPr="0092560F">
        <w:rPr>
          <w:rFonts w:eastAsia="Times New Roman" w:cs="Times New Roman"/>
          <w:color w:val="008000"/>
        </w:rPr>
        <w:t xml:space="preserve">Remzi Uctum (Paris-Ouest) : </w:t>
      </w:r>
      <w:r w:rsidR="00D1258A" w:rsidRPr="0092560F">
        <w:rPr>
          <w:rFonts w:eastAsia="Times New Roman" w:cs="Times New Roman"/>
          <w:i/>
          <w:color w:val="008000"/>
        </w:rPr>
        <w:t>Convergence des salaires et de leurs déterminants macroéconomiques dans la zone euro</w:t>
      </w:r>
    </w:p>
    <w:p w14:paraId="28680F59" w14:textId="5F5197E3" w:rsidR="00AC06F6" w:rsidRDefault="00385883" w:rsidP="00AC06F6">
      <w:r>
        <w:tab/>
        <w:t>Avec Georges Prat (Paris Ouest), ils s’efforcent de travailler sur les déterminants macroéconomiques de la converge</w:t>
      </w:r>
      <w:r w:rsidR="00362498">
        <w:t>nce salariale dans la zone euro</w:t>
      </w:r>
      <w:r w:rsidR="009902DA">
        <w:rPr>
          <w:rFonts w:cs="Times New Roman"/>
        </w:rPr>
        <w:t xml:space="preserve"> (accélération ou ralentissement)</w:t>
      </w:r>
      <w:r w:rsidR="00362498">
        <w:t xml:space="preserve">, plus </w:t>
      </w:r>
      <w:r>
        <w:t xml:space="preserve">que sur la convergence elle-même. </w:t>
      </w:r>
      <w:r w:rsidR="00524E2E" w:rsidRPr="00524E2E">
        <w:t xml:space="preserve">La théorie de la zone monétaire optimale </w:t>
      </w:r>
      <w:r w:rsidR="00524E2E">
        <w:t>(</w:t>
      </w:r>
      <w:r w:rsidR="00524E2E" w:rsidRPr="00524E2E">
        <w:rPr>
          <w:i/>
        </w:rPr>
        <w:t>Optimal currency area</w:t>
      </w:r>
      <w:r w:rsidR="00524E2E">
        <w:t xml:space="preserve">) </w:t>
      </w:r>
      <w:r w:rsidR="009902DA">
        <w:t>de</w:t>
      </w:r>
      <w:r w:rsidR="00524E2E">
        <w:t xml:space="preserve"> Mundell à la fin des années 1950 in</w:t>
      </w:r>
      <w:r w:rsidR="000F6C2B">
        <w:t>dique que les principales conditions préalables à la formation d’une ZMO sont u</w:t>
      </w:r>
      <w:r w:rsidR="00524E2E">
        <w:t>ne</w:t>
      </w:r>
      <w:r w:rsidR="00524E2E" w:rsidRPr="00524E2E">
        <w:t xml:space="preserve"> forte mobilité des capitaux et du travail, la flexi</w:t>
      </w:r>
      <w:r w:rsidR="00524E2E">
        <w:t xml:space="preserve">bilité des salaires réels et </w:t>
      </w:r>
      <w:r w:rsidR="00524E2E" w:rsidRPr="00524E2E">
        <w:t>l'intégration fiscale</w:t>
      </w:r>
      <w:r w:rsidR="00524E2E">
        <w:t>. Il n’y a cependant pas</w:t>
      </w:r>
      <w:r w:rsidR="00524E2E" w:rsidRPr="00524E2E">
        <w:t xml:space="preserve"> de condition préalable à la convergence. Les pays qui </w:t>
      </w:r>
      <w:r w:rsidR="00524E2E">
        <w:t>ne seraient initialement pas capable</w:t>
      </w:r>
      <w:r w:rsidR="00362498">
        <w:t>s</w:t>
      </w:r>
      <w:r w:rsidR="00524E2E">
        <w:t xml:space="preserve"> de </w:t>
      </w:r>
      <w:r w:rsidR="00524E2E" w:rsidRPr="00524E2E">
        <w:t xml:space="preserve">se joindre à une </w:t>
      </w:r>
      <w:r w:rsidR="00524E2E">
        <w:t>ZMO</w:t>
      </w:r>
      <w:r w:rsidR="00524E2E" w:rsidRPr="00524E2E">
        <w:t xml:space="preserve"> pourrai</w:t>
      </w:r>
      <w:r w:rsidR="00524E2E">
        <w:t xml:space="preserve">ent bien s’adapter progressivement après l’avoir rejointe. </w:t>
      </w:r>
    </w:p>
    <w:p w14:paraId="1C1C2D07" w14:textId="3A2EA848" w:rsidR="00846D2D" w:rsidRPr="0058217C" w:rsidRDefault="00AC06F6" w:rsidP="0058217C">
      <w:pPr>
        <w:ind w:firstLine="284"/>
      </w:pPr>
      <w:r>
        <w:t>La</w:t>
      </w:r>
      <w:r w:rsidRPr="00AC06F6">
        <w:t xml:space="preserve"> littérature </w:t>
      </w:r>
      <w:r>
        <w:t>penche en faveur d’</w:t>
      </w:r>
      <w:r w:rsidRPr="00AC06F6">
        <w:t xml:space="preserve">une réduction des écarts de salaires entre les pays européens en raison de la concurrence sur le marché, </w:t>
      </w:r>
      <w:r>
        <w:t>des mouvements</w:t>
      </w:r>
      <w:r w:rsidR="001A65E9">
        <w:t xml:space="preserve"> migratoires ou </w:t>
      </w:r>
      <w:r>
        <w:t>l’</w:t>
      </w:r>
      <w:r w:rsidRPr="00AC06F6">
        <w:t>introduction de l'euro</w:t>
      </w:r>
      <w:r w:rsidR="00362498">
        <w:rPr>
          <w:rStyle w:val="Appelnotedebasdep"/>
        </w:rPr>
        <w:footnoteReference w:id="2"/>
      </w:r>
      <w:r w:rsidRPr="00AC06F6">
        <w:t xml:space="preserve">. </w:t>
      </w:r>
      <w:r w:rsidR="00194C77">
        <w:rPr>
          <w:rFonts w:cs="Times New Roman"/>
        </w:rPr>
        <w:t>Les auteurs</w:t>
      </w:r>
      <w:r w:rsidR="00362498">
        <w:rPr>
          <w:rFonts w:cs="Times New Roman"/>
        </w:rPr>
        <w:t xml:space="preserve"> vont</w:t>
      </w:r>
      <w:r w:rsidRPr="00AC06F6">
        <w:rPr>
          <w:rFonts w:cs="Times New Roman"/>
        </w:rPr>
        <w:t xml:space="preserve"> spécialement vérifier si la</w:t>
      </w:r>
      <w:r>
        <w:rPr>
          <w:rFonts w:cs="Times New Roman"/>
        </w:rPr>
        <w:t xml:space="preserve"> mise en place de l'euro a ou n’</w:t>
      </w:r>
      <w:r w:rsidRPr="00AC06F6">
        <w:rPr>
          <w:rFonts w:cs="Times New Roman"/>
        </w:rPr>
        <w:t xml:space="preserve">a pas accéléré la convergence des salaires. </w:t>
      </w:r>
      <w:r w:rsidR="009902DA">
        <w:rPr>
          <w:rFonts w:cs="Times New Roman"/>
        </w:rPr>
        <w:t xml:space="preserve">Pour </w:t>
      </w:r>
      <w:r w:rsidRPr="00AC06F6">
        <w:rPr>
          <w:rFonts w:cs="Times New Roman"/>
        </w:rPr>
        <w:t>Mora et al</w:t>
      </w:r>
      <w:r>
        <w:rPr>
          <w:rFonts w:cs="Times New Roman"/>
        </w:rPr>
        <w:t>ii</w:t>
      </w:r>
      <w:r w:rsidR="009902DA">
        <w:rPr>
          <w:rFonts w:cs="Times New Roman"/>
        </w:rPr>
        <w:t xml:space="preserve"> (2005), </w:t>
      </w:r>
      <w:r>
        <w:rPr>
          <w:rFonts w:cs="Times New Roman"/>
        </w:rPr>
        <w:t>l’</w:t>
      </w:r>
      <w:r w:rsidR="0058217C">
        <w:rPr>
          <w:rFonts w:cs="Times New Roman"/>
        </w:rPr>
        <w:t>introduction de l’</w:t>
      </w:r>
      <w:r w:rsidRPr="00AC06F6">
        <w:rPr>
          <w:rFonts w:cs="Times New Roman"/>
        </w:rPr>
        <w:t>euro n</w:t>
      </w:r>
      <w:r w:rsidR="0058217C">
        <w:rPr>
          <w:rFonts w:cs="Times New Roman"/>
        </w:rPr>
        <w:t>’exerce</w:t>
      </w:r>
      <w:r w:rsidRPr="00AC06F6">
        <w:rPr>
          <w:rFonts w:cs="Times New Roman"/>
        </w:rPr>
        <w:t xml:space="preserve"> pas d'effet</w:t>
      </w:r>
      <w:r>
        <w:rPr>
          <w:rFonts w:cs="Times New Roman"/>
        </w:rPr>
        <w:t xml:space="preserve"> accélérateur en termes de convergence salar</w:t>
      </w:r>
      <w:r w:rsidR="0058217C">
        <w:rPr>
          <w:rFonts w:cs="Times New Roman"/>
        </w:rPr>
        <w:t>iale</w:t>
      </w:r>
      <w:r w:rsidRPr="00AC06F6">
        <w:rPr>
          <w:rFonts w:cs="Times New Roman"/>
        </w:rPr>
        <w:t>.</w:t>
      </w:r>
    </w:p>
    <w:p w14:paraId="0F17B476" w14:textId="61573A41" w:rsidR="003E020F" w:rsidRDefault="00846D2D" w:rsidP="000F6C2B">
      <w:pPr>
        <w:ind w:firstLine="284"/>
        <w:rPr>
          <w:rFonts w:eastAsia="Times New Roman" w:cs="Times New Roman"/>
          <w:color w:val="252525"/>
          <w:shd w:val="clear" w:color="auto" w:fill="FFFFFF"/>
        </w:rPr>
      </w:pPr>
      <w:r>
        <w:rPr>
          <w:rFonts w:cs="Times New Roman"/>
        </w:rPr>
        <w:t xml:space="preserve">Le </w:t>
      </w:r>
      <w:r w:rsidRPr="00846D2D">
        <w:rPr>
          <w:rFonts w:cs="Times New Roman"/>
        </w:rPr>
        <w:t xml:space="preserve">modèle macroéconomique </w:t>
      </w:r>
      <w:r>
        <w:rPr>
          <w:rFonts w:cs="Times New Roman"/>
        </w:rPr>
        <w:t xml:space="preserve">choisi </w:t>
      </w:r>
      <w:r w:rsidRPr="00846D2D">
        <w:rPr>
          <w:rFonts w:cs="Times New Roman"/>
        </w:rPr>
        <w:t>de détermination des salaires</w:t>
      </w:r>
      <w:r>
        <w:rPr>
          <w:rFonts w:cs="Times New Roman"/>
        </w:rPr>
        <w:t xml:space="preserve"> est le</w:t>
      </w:r>
      <w:r w:rsidRPr="00846D2D">
        <w:rPr>
          <w:rFonts w:cs="Times New Roman"/>
        </w:rPr>
        <w:t xml:space="preserve"> modèle WS-PS </w:t>
      </w:r>
      <w:r>
        <w:rPr>
          <w:rFonts w:cs="Times New Roman"/>
        </w:rPr>
        <w:t xml:space="preserve">qui fournit un cadre facilement </w:t>
      </w:r>
      <w:r w:rsidR="003E020F" w:rsidRPr="003E020F">
        <w:rPr>
          <w:rFonts w:cs="Times New Roman"/>
        </w:rPr>
        <w:t>implémentable</w:t>
      </w:r>
      <w:r w:rsidR="003E020F" w:rsidRPr="003E020F">
        <w:rPr>
          <w:rFonts w:eastAsia="Times New Roman" w:cs="Times New Roman"/>
          <w:color w:val="252525"/>
          <w:shd w:val="clear" w:color="auto" w:fill="FFFFFF"/>
        </w:rPr>
        <w:t>.</w:t>
      </w:r>
      <w:r w:rsidR="003E020F">
        <w:rPr>
          <w:rFonts w:eastAsia="Times New Roman" w:cs="Times New Roman"/>
          <w:color w:val="252525"/>
          <w:shd w:val="clear" w:color="auto" w:fill="FFFFFF"/>
        </w:rPr>
        <w:t xml:space="preserve"> La méthodologie</w:t>
      </w:r>
      <w:r w:rsidR="003E020F" w:rsidRPr="003E020F">
        <w:rPr>
          <w:rFonts w:eastAsia="Times New Roman" w:cs="Times New Roman"/>
          <w:color w:val="252525"/>
          <w:shd w:val="clear" w:color="auto" w:fill="FFFFFF"/>
        </w:rPr>
        <w:t xml:space="preserve"> pour la détection de la convergence pour chaque déterminant</w:t>
      </w:r>
      <w:r w:rsidR="003E020F">
        <w:rPr>
          <w:rFonts w:eastAsia="Times New Roman" w:cs="Times New Roman"/>
          <w:color w:val="252525"/>
          <w:shd w:val="clear" w:color="auto" w:fill="FFFFFF"/>
        </w:rPr>
        <w:t xml:space="preserve"> peut utiliser des tests d’analyse transversale (</w:t>
      </w:r>
      <w:r w:rsidR="003E020F" w:rsidRPr="003E020F">
        <w:rPr>
          <w:rFonts w:eastAsia="Times New Roman" w:cs="Times New Roman"/>
          <w:i/>
          <w:color w:val="252525"/>
          <w:shd w:val="clear" w:color="auto" w:fill="FFFFFF"/>
        </w:rPr>
        <w:t>cross-section</w:t>
      </w:r>
      <w:r w:rsidR="003E020F">
        <w:rPr>
          <w:rFonts w:eastAsia="Times New Roman" w:cs="Times New Roman"/>
          <w:color w:val="252525"/>
          <w:shd w:val="clear" w:color="auto" w:fill="FFFFFF"/>
        </w:rPr>
        <w:t xml:space="preserve">) ou de séries chronologiques, en fonction des hypothèses de départ posées sur l’état </w:t>
      </w:r>
      <w:r w:rsidR="00CD64D8">
        <w:rPr>
          <w:rFonts w:eastAsia="Times New Roman" w:cs="Times New Roman"/>
          <w:color w:val="252525"/>
          <w:shd w:val="clear" w:color="auto" w:fill="FFFFFF"/>
        </w:rPr>
        <w:t>stationnaire</w:t>
      </w:r>
      <w:r w:rsidR="00CD64D8">
        <w:rPr>
          <w:rStyle w:val="Appelnotedebasdep"/>
          <w:rFonts w:eastAsia="Times New Roman" w:cs="Times New Roman"/>
          <w:color w:val="252525"/>
          <w:shd w:val="clear" w:color="auto" w:fill="FFFFFF"/>
        </w:rPr>
        <w:footnoteReference w:id="3"/>
      </w:r>
      <w:r w:rsidR="003E020F">
        <w:rPr>
          <w:rFonts w:eastAsia="Times New Roman" w:cs="Times New Roman"/>
          <w:color w:val="252525"/>
          <w:shd w:val="clear" w:color="auto" w:fill="FFFFFF"/>
        </w:rPr>
        <w:t xml:space="preserve">. </w:t>
      </w:r>
      <w:r w:rsidR="00AF370D">
        <w:rPr>
          <w:rFonts w:eastAsia="Times New Roman" w:cs="Times New Roman"/>
          <w:color w:val="252525"/>
          <w:shd w:val="clear" w:color="auto" w:fill="FFFFFF"/>
        </w:rPr>
        <w:t>Dans le modèle, s</w:t>
      </w:r>
      <w:r w:rsidR="00AF370D" w:rsidRPr="00AF370D">
        <w:rPr>
          <w:rFonts w:eastAsia="Times New Roman" w:cs="Times New Roman"/>
          <w:color w:val="252525"/>
          <w:shd w:val="clear" w:color="auto" w:fill="FFFFFF"/>
        </w:rPr>
        <w:t>ous l</w:t>
      </w:r>
      <w:r w:rsidR="00AF370D">
        <w:rPr>
          <w:rFonts w:eastAsia="Times New Roman" w:cs="Times New Roman"/>
          <w:color w:val="252525"/>
          <w:shd w:val="clear" w:color="auto" w:fill="FFFFFF"/>
        </w:rPr>
        <w:t>’</w:t>
      </w:r>
      <w:r w:rsidR="00AF370D" w:rsidRPr="00AF370D">
        <w:rPr>
          <w:rFonts w:eastAsia="Times New Roman" w:cs="Times New Roman"/>
          <w:color w:val="252525"/>
          <w:shd w:val="clear" w:color="auto" w:fill="FFFFFF"/>
        </w:rPr>
        <w:t>hypothèse de la diminution de la productivité marginale du travail et de</w:t>
      </w:r>
      <w:r w:rsidR="00AF370D">
        <w:rPr>
          <w:rFonts w:eastAsia="Times New Roman" w:cs="Times New Roman"/>
          <w:color w:val="252525"/>
          <w:shd w:val="clear" w:color="auto" w:fill="FFFFFF"/>
        </w:rPr>
        <w:t xml:space="preserve"> la maximisation du profit par le</w:t>
      </w:r>
      <w:r w:rsidR="00AF370D" w:rsidRPr="00AF370D">
        <w:rPr>
          <w:rFonts w:eastAsia="Times New Roman" w:cs="Times New Roman"/>
          <w:color w:val="252525"/>
          <w:shd w:val="clear" w:color="auto" w:fill="FFFFFF"/>
        </w:rPr>
        <w:t>s entreprises</w:t>
      </w:r>
      <w:r w:rsidR="00AF370D">
        <w:rPr>
          <w:rFonts w:eastAsia="Times New Roman" w:cs="Times New Roman"/>
          <w:color w:val="252525"/>
          <w:shd w:val="clear" w:color="auto" w:fill="FFFFFF"/>
        </w:rPr>
        <w:t>, s’établit une première équation de salaire réel offert par les entreprises (PS) ; une seconde équation (WS) définit les</w:t>
      </w:r>
      <w:r w:rsidR="00AF370D" w:rsidRPr="00AF370D">
        <w:rPr>
          <w:rFonts w:eastAsia="Times New Roman" w:cs="Times New Roman"/>
          <w:color w:val="252525"/>
          <w:shd w:val="clear" w:color="auto" w:fill="FFFFFF"/>
        </w:rPr>
        <w:t xml:space="preserve"> salaires réels </w:t>
      </w:r>
      <w:r w:rsidR="00AF370D">
        <w:rPr>
          <w:rFonts w:eastAsia="Times New Roman" w:cs="Times New Roman"/>
          <w:color w:val="252525"/>
          <w:shd w:val="clear" w:color="auto" w:fill="FFFFFF"/>
        </w:rPr>
        <w:t>désirés par les salarié</w:t>
      </w:r>
      <w:r w:rsidR="00AF370D" w:rsidRPr="00AF370D">
        <w:rPr>
          <w:rFonts w:eastAsia="Times New Roman" w:cs="Times New Roman"/>
          <w:color w:val="252525"/>
          <w:shd w:val="clear" w:color="auto" w:fill="FFFFFF"/>
        </w:rPr>
        <w:t>s</w:t>
      </w:r>
      <w:r w:rsidR="00490679">
        <w:rPr>
          <w:rFonts w:eastAsia="Times New Roman" w:cs="Times New Roman"/>
          <w:color w:val="252525"/>
          <w:shd w:val="clear" w:color="auto" w:fill="FFFFFF"/>
        </w:rPr>
        <w:t>, salaires</w:t>
      </w:r>
      <w:r w:rsidR="00AF370D" w:rsidRPr="00AF370D">
        <w:rPr>
          <w:rFonts w:eastAsia="Times New Roman" w:cs="Times New Roman"/>
          <w:color w:val="252525"/>
          <w:shd w:val="clear" w:color="auto" w:fill="FFFFFF"/>
        </w:rPr>
        <w:t xml:space="preserve"> </w:t>
      </w:r>
      <w:r w:rsidR="00AF370D">
        <w:rPr>
          <w:rFonts w:eastAsia="Times New Roman" w:cs="Times New Roman"/>
          <w:color w:val="252525"/>
          <w:shd w:val="clear" w:color="auto" w:fill="FFFFFF"/>
        </w:rPr>
        <w:t xml:space="preserve">qui augmentent </w:t>
      </w:r>
      <w:r w:rsidR="00AF370D" w:rsidRPr="00AF370D">
        <w:rPr>
          <w:rFonts w:eastAsia="Times New Roman" w:cs="Times New Roman"/>
          <w:color w:val="252525"/>
          <w:shd w:val="clear" w:color="auto" w:fill="FFFFFF"/>
        </w:rPr>
        <w:t>av</w:t>
      </w:r>
      <w:r w:rsidR="00AF370D">
        <w:rPr>
          <w:rFonts w:eastAsia="Times New Roman" w:cs="Times New Roman"/>
          <w:color w:val="252525"/>
          <w:shd w:val="clear" w:color="auto" w:fill="FFFFFF"/>
        </w:rPr>
        <w:t xml:space="preserve">ec le salaire de réservation et </w:t>
      </w:r>
      <w:r w:rsidR="00AF370D" w:rsidRPr="00AF370D">
        <w:rPr>
          <w:rFonts w:eastAsia="Times New Roman" w:cs="Times New Roman"/>
          <w:color w:val="252525"/>
          <w:shd w:val="clear" w:color="auto" w:fill="FFFFFF"/>
        </w:rPr>
        <w:t>diminue</w:t>
      </w:r>
      <w:r w:rsidR="00AF370D">
        <w:rPr>
          <w:rFonts w:eastAsia="Times New Roman" w:cs="Times New Roman"/>
          <w:color w:val="252525"/>
          <w:shd w:val="clear" w:color="auto" w:fill="FFFFFF"/>
        </w:rPr>
        <w:t>nt</w:t>
      </w:r>
      <w:r w:rsidR="00AF370D" w:rsidRPr="00AF370D">
        <w:rPr>
          <w:rFonts w:eastAsia="Times New Roman" w:cs="Times New Roman"/>
          <w:color w:val="252525"/>
          <w:shd w:val="clear" w:color="auto" w:fill="FFFFFF"/>
        </w:rPr>
        <w:t xml:space="preserve"> avec le chômage</w:t>
      </w:r>
      <w:r w:rsidR="00AF370D">
        <w:rPr>
          <w:rFonts w:eastAsia="Times New Roman" w:cs="Times New Roman"/>
          <w:color w:val="252525"/>
          <w:shd w:val="clear" w:color="auto" w:fill="FFFFFF"/>
        </w:rPr>
        <w:t xml:space="preserve">. </w:t>
      </w:r>
      <w:r w:rsidR="009C61D0">
        <w:rPr>
          <w:rFonts w:eastAsia="Times New Roman" w:cs="Times New Roman"/>
          <w:color w:val="252525"/>
          <w:shd w:val="clear" w:color="auto" w:fill="FFFFFF"/>
        </w:rPr>
        <w:t xml:space="preserve">L’articulation entre les deux équations permet de faire ressortir un coefficient </w:t>
      </w:r>
      <w:r w:rsidR="009C61D0" w:rsidRPr="009902DA">
        <w:rPr>
          <w:rFonts w:eastAsia="Times New Roman" w:cs="Times New Roman"/>
          <w:i/>
          <w:color w:val="252525"/>
          <w:shd w:val="clear" w:color="auto" w:fill="FFFFFF"/>
        </w:rPr>
        <w:t>k</w:t>
      </w:r>
      <w:r w:rsidR="009C61D0">
        <w:rPr>
          <w:rFonts w:eastAsia="Times New Roman" w:cs="Times New Roman"/>
          <w:color w:val="252525"/>
          <w:shd w:val="clear" w:color="auto" w:fill="FFFFFF"/>
        </w:rPr>
        <w:t xml:space="preserve"> de rapport de forces dans la négociation entre employeurs et salariés. </w:t>
      </w:r>
    </w:p>
    <w:p w14:paraId="64849E92" w14:textId="3B05B409" w:rsidR="00023646" w:rsidRPr="003E020F" w:rsidRDefault="00023646" w:rsidP="00023646">
      <w:pPr>
        <w:rPr>
          <w:rFonts w:eastAsia="Times New Roman" w:cs="Times New Roman"/>
          <w:color w:val="252525"/>
          <w:shd w:val="clear" w:color="auto" w:fill="FFFFFF"/>
        </w:rPr>
      </w:pPr>
      <w:r>
        <w:rPr>
          <w:rFonts w:eastAsia="Times New Roman" w:cs="Times New Roman"/>
          <w:color w:val="252525"/>
          <w:shd w:val="clear" w:color="auto" w:fill="FFFFFF"/>
        </w:rPr>
        <w:tab/>
        <w:t xml:space="preserve">Les variables indépendantes utilisées pour le modèle sont : </w:t>
      </w:r>
      <w:r w:rsidR="00490679">
        <w:rPr>
          <w:rFonts w:eastAsia="Times New Roman" w:cs="Times New Roman"/>
          <w:color w:val="252525"/>
          <w:shd w:val="clear" w:color="auto" w:fill="FFFFFF"/>
        </w:rPr>
        <w:t>l’</w:t>
      </w:r>
      <w:r>
        <w:rPr>
          <w:rFonts w:eastAsia="Times New Roman" w:cs="Times New Roman"/>
          <w:color w:val="252525"/>
          <w:shd w:val="clear" w:color="auto" w:fill="FFFFFF"/>
        </w:rPr>
        <w:t>i</w:t>
      </w:r>
      <w:r w:rsidRPr="00023646">
        <w:rPr>
          <w:rFonts w:eastAsia="Times New Roman" w:cs="Times New Roman"/>
          <w:color w:val="252525"/>
          <w:shd w:val="clear" w:color="auto" w:fill="FFFFFF"/>
        </w:rPr>
        <w:t>ndice des prix à la consommation</w:t>
      </w:r>
      <w:r>
        <w:rPr>
          <w:rFonts w:eastAsia="Times New Roman" w:cs="Times New Roman"/>
          <w:color w:val="252525"/>
          <w:shd w:val="clear" w:color="auto" w:fill="FFFFFF"/>
        </w:rPr>
        <w:t xml:space="preserve"> (CPI), </w:t>
      </w:r>
      <w:r w:rsidR="00490679">
        <w:rPr>
          <w:rFonts w:eastAsia="Times New Roman" w:cs="Times New Roman"/>
          <w:color w:val="252525"/>
          <w:shd w:val="clear" w:color="auto" w:fill="FFFFFF"/>
        </w:rPr>
        <w:t>l’</w:t>
      </w:r>
      <w:r>
        <w:rPr>
          <w:rFonts w:eastAsia="Times New Roman" w:cs="Times New Roman"/>
          <w:color w:val="252525"/>
          <w:shd w:val="clear" w:color="auto" w:fill="FFFFFF"/>
        </w:rPr>
        <w:t xml:space="preserve">indice des prix à la production (PPI), </w:t>
      </w:r>
      <w:r w:rsidRPr="00023646">
        <w:rPr>
          <w:rFonts w:eastAsia="Times New Roman" w:cs="Times New Roman"/>
          <w:color w:val="252525"/>
          <w:shd w:val="clear" w:color="auto" w:fill="FFFFFF"/>
        </w:rPr>
        <w:t xml:space="preserve">les cotisations </w:t>
      </w:r>
      <w:r>
        <w:rPr>
          <w:rFonts w:eastAsia="Times New Roman" w:cs="Times New Roman"/>
          <w:color w:val="252525"/>
          <w:shd w:val="clear" w:color="auto" w:fill="FFFFFF"/>
        </w:rPr>
        <w:t xml:space="preserve">sociales des employeurs, les </w:t>
      </w:r>
      <w:r w:rsidRPr="00023646">
        <w:rPr>
          <w:rFonts w:eastAsia="Times New Roman" w:cs="Times New Roman"/>
          <w:color w:val="252525"/>
          <w:shd w:val="clear" w:color="auto" w:fill="FFFFFF"/>
        </w:rPr>
        <w:t>co</w:t>
      </w:r>
      <w:r>
        <w:rPr>
          <w:rFonts w:eastAsia="Times New Roman" w:cs="Times New Roman"/>
          <w:color w:val="252525"/>
          <w:shd w:val="clear" w:color="auto" w:fill="FFFFFF"/>
        </w:rPr>
        <w:t xml:space="preserve">tisations sociales des employés, le taux </w:t>
      </w:r>
      <w:r w:rsidRPr="00023646">
        <w:rPr>
          <w:rFonts w:eastAsia="Times New Roman" w:cs="Times New Roman"/>
          <w:color w:val="252525"/>
          <w:shd w:val="clear" w:color="auto" w:fill="FFFFFF"/>
        </w:rPr>
        <w:t xml:space="preserve">de marge brute </w:t>
      </w:r>
      <w:r>
        <w:rPr>
          <w:rFonts w:eastAsia="Times New Roman" w:cs="Times New Roman"/>
          <w:color w:val="252525"/>
          <w:shd w:val="clear" w:color="auto" w:fill="FFFFFF"/>
        </w:rPr>
        <w:t>d</w:t>
      </w:r>
      <w:r w:rsidRPr="00023646">
        <w:rPr>
          <w:rFonts w:eastAsia="Times New Roman" w:cs="Times New Roman"/>
          <w:color w:val="252525"/>
          <w:shd w:val="clear" w:color="auto" w:fill="FFFFFF"/>
        </w:rPr>
        <w:t>es entreprises</w:t>
      </w:r>
      <w:r>
        <w:rPr>
          <w:rFonts w:eastAsia="Times New Roman" w:cs="Times New Roman"/>
          <w:color w:val="252525"/>
          <w:shd w:val="clear" w:color="auto" w:fill="FFFFFF"/>
        </w:rPr>
        <w:t>, l</w:t>
      </w:r>
      <w:r w:rsidRPr="00023646">
        <w:rPr>
          <w:rFonts w:eastAsia="Times New Roman" w:cs="Times New Roman"/>
          <w:color w:val="252525"/>
          <w:shd w:val="clear" w:color="auto" w:fill="FFFFFF"/>
        </w:rPr>
        <w:t>a productivité horaire du travail</w:t>
      </w:r>
      <w:r>
        <w:rPr>
          <w:rFonts w:eastAsia="Times New Roman" w:cs="Times New Roman"/>
          <w:color w:val="252525"/>
          <w:shd w:val="clear" w:color="auto" w:fill="FFFFFF"/>
        </w:rPr>
        <w:t xml:space="preserve"> et le c</w:t>
      </w:r>
      <w:r w:rsidRPr="00023646">
        <w:rPr>
          <w:rFonts w:eastAsia="Times New Roman" w:cs="Times New Roman"/>
          <w:color w:val="252525"/>
          <w:shd w:val="clear" w:color="auto" w:fill="FFFFFF"/>
        </w:rPr>
        <w:t>hômage</w:t>
      </w:r>
      <w:r>
        <w:rPr>
          <w:rFonts w:eastAsia="Times New Roman" w:cs="Times New Roman"/>
          <w:color w:val="252525"/>
          <w:shd w:val="clear" w:color="auto" w:fill="FFFFFF"/>
        </w:rPr>
        <w:t xml:space="preserve">. </w:t>
      </w:r>
      <w:r w:rsidR="00487CCE">
        <w:rPr>
          <w:rFonts w:eastAsia="Times New Roman" w:cs="Times New Roman"/>
          <w:color w:val="252525"/>
          <w:shd w:val="clear" w:color="auto" w:fill="FFFFFF"/>
        </w:rPr>
        <w:t>Les données sont disponibles auprès des séries de l’OIT, de l’Eurostat, de l’OCDE (</w:t>
      </w:r>
      <w:r w:rsidR="00487CCE" w:rsidRPr="00487CCE">
        <w:rPr>
          <w:rFonts w:eastAsia="Times New Roman" w:cs="Times New Roman"/>
          <w:i/>
          <w:color w:val="252525"/>
          <w:shd w:val="clear" w:color="auto" w:fill="FFFFFF"/>
        </w:rPr>
        <w:t>Economic outlook</w:t>
      </w:r>
      <w:r w:rsidR="00487CCE">
        <w:rPr>
          <w:rFonts w:eastAsia="Times New Roman" w:cs="Times New Roman"/>
          <w:color w:val="252525"/>
          <w:shd w:val="clear" w:color="auto" w:fill="FFFFFF"/>
        </w:rPr>
        <w:t xml:space="preserve">), </w:t>
      </w:r>
      <w:r w:rsidR="00A7120F">
        <w:rPr>
          <w:rFonts w:eastAsia="Times New Roman" w:cs="Times New Roman"/>
          <w:color w:val="252525"/>
          <w:shd w:val="clear" w:color="auto" w:fill="FFFFFF"/>
        </w:rPr>
        <w:t xml:space="preserve">et le </w:t>
      </w:r>
      <w:r w:rsidR="00487CCE" w:rsidRPr="00A7120F">
        <w:rPr>
          <w:rFonts w:eastAsia="Times New Roman" w:cs="Times New Roman"/>
          <w:i/>
          <w:color w:val="252525"/>
          <w:shd w:val="clear" w:color="auto" w:fill="FFFFFF"/>
        </w:rPr>
        <w:t>Thomson Reuters Datastream</w:t>
      </w:r>
      <w:r w:rsidR="00A7120F">
        <w:rPr>
          <w:rFonts w:eastAsia="Times New Roman" w:cs="Times New Roman"/>
          <w:color w:val="252525"/>
          <w:shd w:val="clear" w:color="auto" w:fill="FFFFFF"/>
        </w:rPr>
        <w:t xml:space="preserve">. </w:t>
      </w:r>
    </w:p>
    <w:p w14:paraId="790DEFD6" w14:textId="28E1FE2A" w:rsidR="000F6C2B" w:rsidRPr="000F6C2B" w:rsidRDefault="003E020F" w:rsidP="00A7120F">
      <w:pPr>
        <w:ind w:firstLine="284"/>
        <w:rPr>
          <w:rFonts w:eastAsia="Times New Roman" w:cs="Times New Roman"/>
          <w:color w:val="252525"/>
          <w:shd w:val="clear" w:color="auto" w:fill="FFFFFF"/>
        </w:rPr>
      </w:pPr>
      <w:r>
        <w:rPr>
          <w:rFonts w:eastAsia="Times New Roman" w:cs="Times New Roman"/>
          <w:color w:val="252525"/>
          <w:shd w:val="clear" w:color="auto" w:fill="FFFFFF"/>
        </w:rPr>
        <w:t xml:space="preserve"> </w:t>
      </w:r>
      <w:r w:rsidR="00487CCE">
        <w:rPr>
          <w:rFonts w:eastAsia="Times New Roman" w:cs="Times New Roman"/>
          <w:color w:val="252525"/>
          <w:shd w:val="clear" w:color="auto" w:fill="FFFFFF"/>
        </w:rPr>
        <w:t>Les deux collègues envisagent deux séries de tests</w:t>
      </w:r>
      <w:r w:rsidR="00487CCE" w:rsidRPr="00487CCE">
        <w:rPr>
          <w:rFonts w:eastAsia="Times New Roman" w:cs="Times New Roman"/>
          <w:color w:val="252525"/>
          <w:shd w:val="clear" w:color="auto" w:fill="FFFFFF"/>
        </w:rPr>
        <w:t xml:space="preserve"> de </w:t>
      </w:r>
      <w:r w:rsidR="00C63A81" w:rsidRPr="00487CCE">
        <w:rPr>
          <w:rFonts w:eastAsia="Times New Roman" w:cs="Times New Roman"/>
          <w:color w:val="252525"/>
          <w:shd w:val="clear" w:color="auto" w:fill="FFFFFF"/>
        </w:rPr>
        <w:t>convergence :</w:t>
      </w:r>
      <w:r w:rsidR="00487CCE" w:rsidRPr="00487CCE">
        <w:rPr>
          <w:rFonts w:eastAsia="Times New Roman" w:cs="Times New Roman"/>
          <w:color w:val="252525"/>
          <w:shd w:val="clear" w:color="auto" w:fill="FFFFFF"/>
        </w:rPr>
        <w:t xml:space="preserve"> </w:t>
      </w:r>
      <w:r w:rsidR="00487CCE">
        <w:rPr>
          <w:rFonts w:eastAsia="Times New Roman" w:cs="Times New Roman"/>
          <w:color w:val="252525"/>
          <w:shd w:val="clear" w:color="auto" w:fill="FFFFFF"/>
        </w:rPr>
        <w:t xml:space="preserve">des tests de </w:t>
      </w:r>
      <w:r w:rsidR="00487CCE" w:rsidRPr="00487CCE">
        <w:rPr>
          <w:rFonts w:eastAsia="Times New Roman" w:cs="Times New Roman"/>
          <w:color w:val="252525"/>
          <w:shd w:val="clear" w:color="auto" w:fill="FFFFFF"/>
        </w:rPr>
        <w:t>section transversale et des tests de séries chronologiques (Bernard &amp; Durlauf, 1996)</w:t>
      </w:r>
    </w:p>
    <w:p w14:paraId="3D2F82B5" w14:textId="43B6DAE4" w:rsidR="000F6C2B" w:rsidRDefault="000F6C2B" w:rsidP="000F6C2B">
      <w:pPr>
        <w:ind w:firstLine="284"/>
        <w:rPr>
          <w:rFonts w:eastAsia="Times New Roman" w:cs="Times New Roman"/>
          <w:color w:val="252525"/>
          <w:shd w:val="clear" w:color="auto" w:fill="FFFFFF"/>
        </w:rPr>
      </w:pPr>
      <w:r>
        <w:rPr>
          <w:rFonts w:eastAsia="Times New Roman" w:cs="Times New Roman"/>
          <w:color w:val="252525"/>
          <w:shd w:val="clear" w:color="auto" w:fill="FFFFFF"/>
        </w:rPr>
        <w:t xml:space="preserve"> </w:t>
      </w:r>
      <w:r w:rsidR="00490679">
        <w:rPr>
          <w:rFonts w:eastAsia="Times New Roman" w:cs="Times New Roman"/>
          <w:color w:val="252525"/>
          <w:shd w:val="clear" w:color="auto" w:fill="FFFFFF"/>
        </w:rPr>
        <w:t xml:space="preserve">À la fin de l’exposé les participants posent plusieurs questions, notamment s’il ne faudrait pas distinguer dans le modèle des sous-ensembles européens, notamment l’Europe du nord (autour de l’Allemagne). </w:t>
      </w:r>
    </w:p>
    <w:p w14:paraId="7403B42D" w14:textId="08892B7F" w:rsidR="0086598C" w:rsidRDefault="00A7120F" w:rsidP="00A354B9">
      <w:r>
        <w:rPr>
          <w:rFonts w:eastAsia="Times New Roman" w:cs="Times New Roman"/>
          <w:color w:val="252525"/>
          <w:shd w:val="clear" w:color="auto" w:fill="FFFFFF"/>
        </w:rPr>
        <w:t xml:space="preserve"> </w:t>
      </w:r>
    </w:p>
    <w:p w14:paraId="2E15B7F3" w14:textId="4F1B0B12" w:rsidR="00385883" w:rsidRDefault="009902DA" w:rsidP="009902DA">
      <w:pPr>
        <w:ind w:firstLine="284"/>
      </w:pPr>
      <w:r>
        <w:rPr>
          <w:color w:val="008000"/>
        </w:rPr>
        <w:t>[6bis] </w:t>
      </w:r>
      <w:r w:rsidR="00D1258A" w:rsidRPr="0092560F">
        <w:rPr>
          <w:color w:val="008000"/>
        </w:rPr>
        <w:t>Harvey Clavien, direction des statistiques de l’OIT</w:t>
      </w:r>
      <w:r w:rsidR="00063CD4">
        <w:t xml:space="preserve"> nous présente un peu le site de </w:t>
      </w:r>
      <w:r w:rsidR="00063CD4" w:rsidRPr="00745180">
        <w:rPr>
          <w:color w:val="008000"/>
        </w:rPr>
        <w:t>l’ILOSTAT</w:t>
      </w:r>
      <w:r w:rsidR="00745180">
        <w:t xml:space="preserve">. La première base de données LABORSTA, qui débutait en 1969 ne comptait pas tous les pays et fonctionnait sur une vingtaine d’indicateurs. ILOSTAT qui l’a remplacée et incorporée, s’étend à 90% des Etats de la planète depuis les années 2000 et compte une centaine d’indicateurs. </w:t>
      </w:r>
      <w:r w:rsidR="00F56807">
        <w:t>L’accessibilité du site n’est pas toujours simple</w:t>
      </w:r>
      <w:r w:rsidR="00745180">
        <w:t xml:space="preserve">. </w:t>
      </w:r>
      <w:r>
        <w:t xml:space="preserve">Les </w:t>
      </w:r>
      <w:r w:rsidR="00385883">
        <w:t>membres de l’OIT </w:t>
      </w:r>
      <w:r>
        <w:t>précisent que</w:t>
      </w:r>
      <w:r w:rsidR="00385883">
        <w:t xml:space="preserve"> dans le </w:t>
      </w:r>
      <w:r w:rsidR="00385883" w:rsidRPr="00490679">
        <w:rPr>
          <w:i/>
        </w:rPr>
        <w:t>Rapport mondial sur les salaires</w:t>
      </w:r>
      <w:r>
        <w:t xml:space="preserve"> (première édition</w:t>
      </w:r>
      <w:r w:rsidR="00385883">
        <w:t xml:space="preserve"> 2008</w:t>
      </w:r>
      <w:r>
        <w:t>)</w:t>
      </w:r>
      <w:r w:rsidR="00385883">
        <w:t xml:space="preserve">, ils </w:t>
      </w:r>
      <w:r w:rsidR="00490679">
        <w:t>rencontrent</w:t>
      </w:r>
      <w:r w:rsidR="00385883">
        <w:t xml:space="preserve"> des situations de séries avec des données manquantes. Ils ne les publient pas, mais peuvent nous les communiquer pour information.</w:t>
      </w:r>
    </w:p>
    <w:p w14:paraId="231EA1C1" w14:textId="77777777" w:rsidR="00A354B9" w:rsidRDefault="00A354B9" w:rsidP="00A354B9"/>
    <w:p w14:paraId="47A38716" w14:textId="2135CEEE" w:rsidR="009902DA" w:rsidRDefault="009902DA" w:rsidP="009902DA">
      <w:pPr>
        <w:ind w:firstLine="284"/>
      </w:pPr>
      <w:r w:rsidRPr="009902DA">
        <w:rPr>
          <w:color w:val="00B050"/>
        </w:rPr>
        <w:t>[6 ter] </w:t>
      </w:r>
      <w:r>
        <w:t>A</w:t>
      </w:r>
      <w:r w:rsidR="00A354B9">
        <w:t>u restaurant de l’OIT</w:t>
      </w:r>
      <w:r w:rsidR="00024AF2">
        <w:t xml:space="preserve">. </w:t>
      </w:r>
      <w:r w:rsidR="00DF3D30" w:rsidRPr="007A6692">
        <w:rPr>
          <w:color w:val="008000"/>
        </w:rPr>
        <w:t xml:space="preserve">Marc Bachetta </w:t>
      </w:r>
      <w:r w:rsidR="00DF3D30">
        <w:t xml:space="preserve">de l’OMC, </w:t>
      </w:r>
      <w:r>
        <w:t>qui connaît notre groupe par</w:t>
      </w:r>
      <w:r w:rsidR="00DF3D30">
        <w:t xml:space="preserve"> l’intermédiaire d’Hubert Escaith, </w:t>
      </w:r>
      <w:r>
        <w:t xml:space="preserve">économiste en chef OMC, </w:t>
      </w:r>
      <w:r w:rsidR="00DF3D30">
        <w:t xml:space="preserve">déjeune avec nous et </w:t>
      </w:r>
      <w:r>
        <w:t>le repas poursuit les échanges. Il</w:t>
      </w:r>
      <w:r w:rsidR="007A6692">
        <w:t xml:space="preserve"> fait notamment partie d’un groupe qui réfléchit aux relations entre commerce international et salaires. Le dossier est délicat : tout le monde sait que les salaires sont une composante évidente du commerce mondial, mais en même temps, les stratégies des organismes internationaux comme l’OMC (attaché au libre-échange) et l’OIT (attaché au </w:t>
      </w:r>
      <w:r w:rsidR="007A6692" w:rsidRPr="007A6692">
        <w:rPr>
          <w:i/>
        </w:rPr>
        <w:t>decent work</w:t>
      </w:r>
      <w:r w:rsidR="007A6692">
        <w:t xml:space="preserve">) ne sont pas identiques, voire se contredisent. Du coup l’OIT a tendance à considérer les salaires comme relevant de sa seule compétence, ce qui explique le caractère cyclique du fonctionnement du groupe de travail salaire à l’OMC, un temps actif (il y a deux ou trois ans), puis mis en sommeil, de nouveau en voie de renaissance actuellement. </w:t>
      </w:r>
    </w:p>
    <w:p w14:paraId="2E4A3C52" w14:textId="01ADEB1A" w:rsidR="00FC0DD4" w:rsidRDefault="009902DA" w:rsidP="009902DA">
      <w:pPr>
        <w:ind w:firstLine="284"/>
      </w:pPr>
      <w:r>
        <w:t>L’OMC doit</w:t>
      </w:r>
      <w:r w:rsidR="007A6692">
        <w:t xml:space="preserve"> préparer un rapport pour la fin de l’année </w:t>
      </w:r>
      <w:r>
        <w:t xml:space="preserve">2016 </w:t>
      </w:r>
      <w:r w:rsidR="007A6692">
        <w:t xml:space="preserve">sur le </w:t>
      </w:r>
      <w:r w:rsidR="007A6692" w:rsidRPr="007A6692">
        <w:rPr>
          <w:i/>
        </w:rPr>
        <w:t>skill premium</w:t>
      </w:r>
      <w:r w:rsidR="007A6692">
        <w:t>, la prime à la qualification. Globalement dit, et d’après les études assez nombreuses qu’il a pu consulter, on peut dire que la globalisation est favorable à la qualification ; elle augmente « l’effet de prime </w:t>
      </w:r>
      <w:r w:rsidR="00FC0DD4">
        <w:t>» pour les salariés qualifiés. Une seule exception dans les dix-quinze dernières années, l’Amérique latine où la prime sembl</w:t>
      </w:r>
      <w:r>
        <w:t>ait</w:t>
      </w:r>
      <w:r w:rsidR="00FC0DD4">
        <w:t xml:space="preserve"> diminuer : deux explications sont avancées pour cette « anomalie » : la qualification de la main-d’œuvre a augmenté avant, dans les années 1980-2000, quand les Etats ont poussé leur population à faire plus d’ét</w:t>
      </w:r>
      <w:r>
        <w:t xml:space="preserve">udes (théorie du </w:t>
      </w:r>
      <w:r w:rsidRPr="009902DA">
        <w:rPr>
          <w:i/>
        </w:rPr>
        <w:t>capital humain</w:t>
      </w:r>
      <w:r w:rsidR="00FC0DD4">
        <w:t xml:space="preserve">) et les inégalités préalables étaient très élevées, ne pouvant que baisser. </w:t>
      </w:r>
      <w:r w:rsidR="007B086B">
        <w:t xml:space="preserve">Nous parlons de plusieurs autres sujets, par exemple </w:t>
      </w:r>
      <w:r>
        <w:t>avec</w:t>
      </w:r>
      <w:r w:rsidR="007B086B">
        <w:t xml:space="preserve"> Clément Sehier sur la Chine et ses données salariales</w:t>
      </w:r>
      <w:r>
        <w:t xml:space="preserve">. </w:t>
      </w:r>
      <w:r w:rsidR="00FC0DD4">
        <w:t>Le contact est bo</w:t>
      </w:r>
      <w:r w:rsidR="007B086B">
        <w:t xml:space="preserve">n et nous envisageons une coopération ultérieure quand nos travaux respectifs seront plus avancés. </w:t>
      </w:r>
      <w:r w:rsidR="00FC0DD4">
        <w:t xml:space="preserve"> </w:t>
      </w:r>
    </w:p>
    <w:p w14:paraId="70D93DC9" w14:textId="74C55F8B" w:rsidR="00DF3D30" w:rsidRDefault="009902DA" w:rsidP="007A6692">
      <w:pPr>
        <w:ind w:firstLine="284"/>
      </w:pPr>
      <w:r>
        <w:t xml:space="preserve"> </w:t>
      </w:r>
    </w:p>
    <w:p w14:paraId="2D49B753" w14:textId="10887428" w:rsidR="00406D4D" w:rsidRPr="006A7C90" w:rsidRDefault="00406D4D" w:rsidP="00406D4D">
      <w:pPr>
        <w:rPr>
          <w:b/>
          <w:color w:val="FF6600"/>
        </w:rPr>
      </w:pPr>
      <w:r w:rsidRPr="006A7C90">
        <w:rPr>
          <w:b/>
          <w:color w:val="FF6600"/>
        </w:rPr>
        <w:t>———————————————session</w:t>
      </w:r>
      <w:r>
        <w:rPr>
          <w:b/>
          <w:color w:val="FF6600"/>
        </w:rPr>
        <w:t xml:space="preserve"> 3</w:t>
      </w:r>
      <w:r w:rsidRPr="006A7C90">
        <w:rPr>
          <w:b/>
          <w:color w:val="FF6600"/>
        </w:rPr>
        <w:t>———————————————————</w:t>
      </w:r>
    </w:p>
    <w:p w14:paraId="72987050" w14:textId="09D56449" w:rsidR="00D8605B" w:rsidRDefault="00D8605B" w:rsidP="00745180">
      <w:pPr>
        <w:rPr>
          <w:color w:val="0000FF"/>
        </w:rPr>
      </w:pPr>
      <w:r>
        <w:rPr>
          <w:color w:val="0000FF"/>
        </w:rPr>
        <w:t xml:space="preserve">. Expériences </w:t>
      </w:r>
      <w:r w:rsidRPr="004B4D31">
        <w:rPr>
          <w:color w:val="0000FF"/>
        </w:rPr>
        <w:t xml:space="preserve">de constructions de bases de données et </w:t>
      </w:r>
      <w:r>
        <w:rPr>
          <w:color w:val="0000FF"/>
        </w:rPr>
        <w:t>problème</w:t>
      </w:r>
      <w:r w:rsidRPr="004B4D31">
        <w:rPr>
          <w:color w:val="0000FF"/>
        </w:rPr>
        <w:t>s méthodologiques</w:t>
      </w:r>
      <w:r>
        <w:rPr>
          <w:color w:val="0000FF"/>
        </w:rPr>
        <w:t xml:space="preserve"> (suite)</w:t>
      </w:r>
    </w:p>
    <w:p w14:paraId="384619C9" w14:textId="5A750BDA" w:rsidR="00D8605B" w:rsidRDefault="00D8605B" w:rsidP="00745180">
      <w:pPr>
        <w:rPr>
          <w:color w:val="0000FF"/>
        </w:rPr>
      </w:pPr>
      <w:r>
        <w:rPr>
          <w:color w:val="0000FF"/>
        </w:rPr>
        <w:t xml:space="preserve">. Lancement d’un axe de recherche </w:t>
      </w:r>
      <w:r w:rsidRPr="004B4D31">
        <w:rPr>
          <w:color w:val="0000FF"/>
        </w:rPr>
        <w:t>: migration</w:t>
      </w:r>
      <w:r>
        <w:rPr>
          <w:color w:val="0000FF"/>
        </w:rPr>
        <w:t>s</w:t>
      </w:r>
      <w:r w:rsidRPr="004B4D31">
        <w:rPr>
          <w:color w:val="0000FF"/>
        </w:rPr>
        <w:t xml:space="preserve"> </w:t>
      </w:r>
      <w:r>
        <w:rPr>
          <w:color w:val="0000FF"/>
        </w:rPr>
        <w:t>et salaires</w:t>
      </w:r>
    </w:p>
    <w:p w14:paraId="5D198F84" w14:textId="77777777" w:rsidR="00D8605B" w:rsidRDefault="00D8605B" w:rsidP="00745180">
      <w:pPr>
        <w:rPr>
          <w:color w:val="0000FF"/>
        </w:rPr>
      </w:pPr>
    </w:p>
    <w:p w14:paraId="57CC1AC0" w14:textId="29A23D7F" w:rsidR="00D1258A" w:rsidRDefault="0086598C" w:rsidP="00745180">
      <w:pPr>
        <w:rPr>
          <w:rFonts w:eastAsia="Times New Roman" w:cs="Times New Roman"/>
          <w:color w:val="000000"/>
        </w:rPr>
      </w:pPr>
      <w:r>
        <w:rPr>
          <w:rFonts w:eastAsia="Times New Roman" w:cs="Times New Roman"/>
          <w:color w:val="000000"/>
        </w:rPr>
        <w:t>7</w:t>
      </w:r>
      <w:r w:rsidR="00D1258A">
        <w:rPr>
          <w:rFonts w:eastAsia="Times New Roman" w:cs="Times New Roman"/>
          <w:color w:val="000000"/>
        </w:rPr>
        <w:t xml:space="preserve">. </w:t>
      </w:r>
      <w:r w:rsidR="00D1258A" w:rsidRPr="00745180">
        <w:rPr>
          <w:rFonts w:eastAsia="Times New Roman" w:cs="Times New Roman"/>
          <w:color w:val="008000"/>
        </w:rPr>
        <w:t>Stéphane Callens (Arras</w:t>
      </w:r>
      <w:r w:rsidR="00061B4A">
        <w:rPr>
          <w:rFonts w:eastAsia="Times New Roman" w:cs="Times New Roman"/>
          <w:color w:val="008000"/>
        </w:rPr>
        <w:t>, LEM</w:t>
      </w:r>
      <w:r w:rsidR="00D1258A" w:rsidRPr="00745180">
        <w:rPr>
          <w:rFonts w:eastAsia="Times New Roman" w:cs="Times New Roman"/>
          <w:color w:val="008000"/>
        </w:rPr>
        <w:t xml:space="preserve">) : </w:t>
      </w:r>
      <w:r w:rsidR="000A5669">
        <w:rPr>
          <w:rFonts w:eastAsia="Times New Roman" w:cs="Times New Roman"/>
          <w:i/>
          <w:color w:val="008000"/>
        </w:rPr>
        <w:t xml:space="preserve">La mondialisation maîtrisée : quelle coordination pour les politiques commerciales et migratoires ? </w:t>
      </w:r>
      <w:r w:rsidR="00D1258A" w:rsidRPr="00745180">
        <w:rPr>
          <w:rFonts w:eastAsia="Times New Roman" w:cs="Times New Roman"/>
          <w:color w:val="008000"/>
        </w:rPr>
        <w:t xml:space="preserve"> (Europe/UE)</w:t>
      </w:r>
    </w:p>
    <w:p w14:paraId="2F0BFDF9" w14:textId="481CE469" w:rsidR="00624337" w:rsidRPr="00624337" w:rsidRDefault="000A5669" w:rsidP="00745180">
      <w:pPr>
        <w:rPr>
          <w:rFonts w:eastAsia="Times New Roman" w:cs="Times New Roman"/>
          <w:color w:val="000000"/>
        </w:rPr>
      </w:pPr>
      <w:r>
        <w:rPr>
          <w:rFonts w:eastAsia="Times New Roman" w:cs="Times New Roman"/>
          <w:color w:val="000000"/>
        </w:rPr>
        <w:tab/>
      </w:r>
      <w:r w:rsidR="00624337">
        <w:rPr>
          <w:rFonts w:eastAsia="Times New Roman" w:cs="Times New Roman"/>
          <w:color w:val="000000"/>
        </w:rPr>
        <w:t>On peut partir du m</w:t>
      </w:r>
      <w:r>
        <w:rPr>
          <w:rFonts w:eastAsia="Times New Roman" w:cs="Times New Roman"/>
          <w:color w:val="000000"/>
        </w:rPr>
        <w:t xml:space="preserve">odèle </w:t>
      </w:r>
      <w:r w:rsidR="002D042A">
        <w:rPr>
          <w:rFonts w:eastAsia="Times New Roman" w:cs="Times New Roman"/>
          <w:color w:val="000000"/>
        </w:rPr>
        <w:t xml:space="preserve">gravitaire de </w:t>
      </w:r>
      <w:r w:rsidR="002D042A" w:rsidRPr="002D042A">
        <w:rPr>
          <w:rFonts w:eastAsia="Times New Roman" w:cs="Times New Roman"/>
          <w:color w:val="000000"/>
        </w:rPr>
        <w:t xml:space="preserve">Korzeniewicz et al. (2016) </w:t>
      </w:r>
      <w:r w:rsidR="002D042A">
        <w:rPr>
          <w:rFonts w:eastAsia="Times New Roman" w:cs="Times New Roman"/>
          <w:color w:val="000000"/>
        </w:rPr>
        <w:t>sur les données mondiales : il donne</w:t>
      </w:r>
      <w:r w:rsidR="002D042A" w:rsidRPr="002D042A">
        <w:rPr>
          <w:rFonts w:eastAsia="Times New Roman" w:cs="Times New Roman"/>
          <w:color w:val="000000"/>
        </w:rPr>
        <w:t xml:space="preserve"> une valeur maximale pour la probabilité de migrer lorsque le revenu du pays de départ est 40% du revenu de pays d’arrivée. Cela pourrait expliquer le rôle de pays relais (Liban, Mexique)</w:t>
      </w:r>
      <w:r w:rsidR="00F164CF">
        <w:rPr>
          <w:rFonts w:eastAsia="Times New Roman" w:cs="Times New Roman"/>
          <w:color w:val="000000"/>
        </w:rPr>
        <w:t xml:space="preserve">. </w:t>
      </w:r>
      <w:r>
        <w:rPr>
          <w:rFonts w:eastAsia="Times New Roman" w:cs="Times New Roman"/>
          <w:color w:val="000000"/>
        </w:rPr>
        <w:t>La littérature sur le sujet est peu développée</w:t>
      </w:r>
      <w:r w:rsidR="00D8605B">
        <w:rPr>
          <w:rStyle w:val="Appelnotedebasdep"/>
          <w:rFonts w:eastAsia="Times New Roman" w:cs="Times New Roman"/>
          <w:color w:val="000000"/>
        </w:rPr>
        <w:footnoteReference w:id="4"/>
      </w:r>
      <w:r>
        <w:rPr>
          <w:rFonts w:eastAsia="Times New Roman" w:cs="Times New Roman"/>
          <w:color w:val="000000"/>
        </w:rPr>
        <w:t xml:space="preserve">. L’OMC </w:t>
      </w:r>
      <w:r w:rsidR="0032633C">
        <w:rPr>
          <w:rFonts w:eastAsia="Times New Roman" w:cs="Times New Roman"/>
          <w:color w:val="000000"/>
        </w:rPr>
        <w:t>parie</w:t>
      </w:r>
      <w:r>
        <w:rPr>
          <w:rFonts w:eastAsia="Times New Roman" w:cs="Times New Roman"/>
          <w:color w:val="000000"/>
        </w:rPr>
        <w:t xml:space="preserve"> sur une « mondialisation maîtrisée » combinant ouvertu</w:t>
      </w:r>
      <w:r w:rsidR="00D8605B">
        <w:rPr>
          <w:rFonts w:eastAsia="Times New Roman" w:cs="Times New Roman"/>
          <w:color w:val="000000"/>
        </w:rPr>
        <w:t>re économique et progrès social</w:t>
      </w:r>
      <w:r w:rsidR="00624337">
        <w:rPr>
          <w:rFonts w:eastAsia="Times New Roman" w:cs="Times New Roman"/>
          <w:color w:val="000000"/>
        </w:rPr>
        <w:t xml:space="preserve">. La coordination de la politique commerciale avec les autres politiques peut s’effectuer à travers la firme, l’Etat </w:t>
      </w:r>
      <w:r w:rsidR="0032633C">
        <w:rPr>
          <w:rFonts w:eastAsia="Times New Roman" w:cs="Times New Roman"/>
          <w:color w:val="000000"/>
        </w:rPr>
        <w:t>ou</w:t>
      </w:r>
      <w:r w:rsidR="00624337">
        <w:rPr>
          <w:rFonts w:eastAsia="Times New Roman" w:cs="Times New Roman"/>
          <w:color w:val="000000"/>
        </w:rPr>
        <w:t xml:space="preserve"> les institutions internationales (</w:t>
      </w:r>
      <w:r w:rsidR="0032633C">
        <w:rPr>
          <w:rFonts w:eastAsia="Times New Roman" w:cs="Times New Roman"/>
          <w:color w:val="000000"/>
        </w:rPr>
        <w:t>OMC).</w:t>
      </w:r>
      <w:r w:rsidR="002D042A">
        <w:rPr>
          <w:rFonts w:eastAsia="Times New Roman" w:cs="Times New Roman"/>
          <w:color w:val="000000"/>
        </w:rPr>
        <w:t xml:space="preserve"> </w:t>
      </w:r>
      <w:r w:rsidR="00F164CF">
        <w:rPr>
          <w:rFonts w:eastAsia="Times New Roman" w:cs="Times New Roman"/>
          <w:color w:val="000000"/>
        </w:rPr>
        <w:t>Le</w:t>
      </w:r>
      <w:r w:rsidR="00624337">
        <w:rPr>
          <w:rFonts w:eastAsia="Times New Roman" w:cs="Times New Roman"/>
          <w:color w:val="000000"/>
        </w:rPr>
        <w:t xml:space="preserve"> commerce et les migrations connaissent une évolution parallèle</w:t>
      </w:r>
      <w:r w:rsidR="0032633C">
        <w:rPr>
          <w:rFonts w:eastAsia="Times New Roman" w:cs="Times New Roman"/>
          <w:color w:val="000000"/>
        </w:rPr>
        <w:t xml:space="preserve"> </w:t>
      </w:r>
      <w:r w:rsidR="00624337">
        <w:rPr>
          <w:rFonts w:eastAsia="Times New Roman" w:cs="Times New Roman"/>
          <w:color w:val="000000"/>
        </w:rPr>
        <w:t>; les migrations de personnes s’apparentent à un déplacement géographique de la prestation de travail</w:t>
      </w:r>
      <w:r w:rsidR="0032633C">
        <w:rPr>
          <w:rFonts w:eastAsia="Times New Roman" w:cs="Times New Roman"/>
          <w:color w:val="000000"/>
        </w:rPr>
        <w:t xml:space="preserve">. </w:t>
      </w:r>
      <w:r w:rsidR="002D042A" w:rsidRPr="002D042A">
        <w:rPr>
          <w:rFonts w:eastAsia="Times New Roman" w:cs="Times New Roman"/>
          <w:color w:val="000000"/>
        </w:rPr>
        <w:t xml:space="preserve">Le commerce ou la mobilité dans </w:t>
      </w:r>
      <w:r w:rsidR="002D042A">
        <w:rPr>
          <w:rFonts w:eastAsia="Times New Roman" w:cs="Times New Roman"/>
          <w:color w:val="000000"/>
        </w:rPr>
        <w:t xml:space="preserve">le modèle Heckscher-Ohlin sont soit </w:t>
      </w:r>
      <w:r w:rsidR="002D042A" w:rsidRPr="002D042A">
        <w:rPr>
          <w:rFonts w:eastAsia="Times New Roman" w:cs="Times New Roman"/>
          <w:color w:val="000000"/>
        </w:rPr>
        <w:t xml:space="preserve">substitut </w:t>
      </w:r>
      <w:r w:rsidR="002D042A">
        <w:rPr>
          <w:rFonts w:eastAsia="Times New Roman" w:cs="Times New Roman"/>
          <w:color w:val="000000"/>
        </w:rPr>
        <w:t xml:space="preserve">l’un à l’autre </w:t>
      </w:r>
      <w:r w:rsidR="002D042A" w:rsidRPr="002D042A">
        <w:rPr>
          <w:rFonts w:eastAsia="Times New Roman" w:cs="Times New Roman"/>
          <w:color w:val="000000"/>
        </w:rPr>
        <w:t xml:space="preserve">(si égalisation du prix des facteurs), </w:t>
      </w:r>
      <w:r w:rsidR="002D042A">
        <w:rPr>
          <w:rFonts w:eastAsia="Times New Roman" w:cs="Times New Roman"/>
          <w:color w:val="000000"/>
        </w:rPr>
        <w:t xml:space="preserve">soit complément. </w:t>
      </w:r>
      <w:r w:rsidR="00A9088C">
        <w:rPr>
          <w:rFonts w:eastAsia="Times New Roman" w:cs="Times New Roman"/>
          <w:color w:val="000000"/>
        </w:rPr>
        <w:t xml:space="preserve">E. </w:t>
      </w:r>
      <w:r w:rsidR="00624337">
        <w:rPr>
          <w:rFonts w:eastAsia="Times New Roman" w:cs="Times New Roman"/>
          <w:color w:val="000000"/>
        </w:rPr>
        <w:t>Helpman</w:t>
      </w:r>
      <w:r w:rsidR="002D042A">
        <w:rPr>
          <w:rStyle w:val="Appelnotedebasdep"/>
          <w:rFonts w:eastAsia="Times New Roman" w:cs="Times New Roman"/>
          <w:color w:val="000000"/>
        </w:rPr>
        <w:footnoteReference w:id="5"/>
      </w:r>
      <w:r w:rsidR="00624337">
        <w:rPr>
          <w:rFonts w:eastAsia="Times New Roman" w:cs="Times New Roman"/>
          <w:color w:val="000000"/>
        </w:rPr>
        <w:t xml:space="preserve"> </w:t>
      </w:r>
      <w:r w:rsidR="002D042A">
        <w:rPr>
          <w:rFonts w:eastAsia="Times New Roman" w:cs="Times New Roman"/>
          <w:color w:val="000000"/>
        </w:rPr>
        <w:t>(201</w:t>
      </w:r>
      <w:r w:rsidR="00A9088C">
        <w:rPr>
          <w:rFonts w:eastAsia="Times New Roman" w:cs="Times New Roman"/>
          <w:color w:val="000000"/>
        </w:rPr>
        <w:t>6</w:t>
      </w:r>
      <w:r w:rsidR="002D042A">
        <w:rPr>
          <w:rFonts w:eastAsia="Times New Roman" w:cs="Times New Roman"/>
          <w:color w:val="000000"/>
        </w:rPr>
        <w:t xml:space="preserve">) </w:t>
      </w:r>
      <w:r w:rsidR="00624337">
        <w:rPr>
          <w:rFonts w:eastAsia="Times New Roman" w:cs="Times New Roman"/>
          <w:color w:val="000000"/>
        </w:rPr>
        <w:t>propose une typologie par entreprise,</w:t>
      </w:r>
      <w:r w:rsidR="002D042A">
        <w:rPr>
          <w:rFonts w:eastAsia="Times New Roman" w:cs="Times New Roman"/>
          <w:color w:val="000000"/>
        </w:rPr>
        <w:t xml:space="preserve"> en supposant un accord de libre-</w:t>
      </w:r>
      <w:r w:rsidR="002D042A" w:rsidRPr="002D042A">
        <w:rPr>
          <w:rFonts w:eastAsia="Times New Roman" w:cs="Times New Roman"/>
          <w:color w:val="000000"/>
        </w:rPr>
        <w:t>échange sa</w:t>
      </w:r>
      <w:r w:rsidR="002D042A">
        <w:rPr>
          <w:rFonts w:eastAsia="Times New Roman" w:cs="Times New Roman"/>
          <w:color w:val="000000"/>
        </w:rPr>
        <w:t xml:space="preserve">ns mobilité du facteur travail ; </w:t>
      </w:r>
      <w:r w:rsidR="002D042A" w:rsidRPr="002D042A">
        <w:rPr>
          <w:rFonts w:eastAsia="Times New Roman" w:cs="Times New Roman"/>
          <w:color w:val="000000"/>
        </w:rPr>
        <w:t>les retombées sont inégales sur le pays au travail immobile, favorisant d’abord les salariés d’un premier cercle d’entreprises exportatrices et diversifiées sur plusieurs marchés, puis simplement exportatrices et enfin purement</w:t>
      </w:r>
      <w:r w:rsidR="002D042A">
        <w:rPr>
          <w:rFonts w:eastAsia="Times New Roman" w:cs="Times New Roman"/>
          <w:color w:val="000000"/>
        </w:rPr>
        <w:t xml:space="preserve"> locales</w:t>
      </w:r>
      <w:r w:rsidR="00624337">
        <w:rPr>
          <w:rFonts w:eastAsia="Times New Roman" w:cs="Arial"/>
          <w:color w:val="000000" w:themeColor="text1"/>
          <w:shd w:val="clear" w:color="auto" w:fill="FFFFFF"/>
        </w:rPr>
        <w:t xml:space="preserve">. </w:t>
      </w:r>
    </w:p>
    <w:p w14:paraId="2D9D3A84" w14:textId="3377EE8C" w:rsidR="00460222" w:rsidRDefault="00624337" w:rsidP="00460222">
      <w:pPr>
        <w:rPr>
          <w:rFonts w:eastAsia="Times New Roman" w:cs="Arial"/>
          <w:color w:val="000000" w:themeColor="text1"/>
          <w:shd w:val="clear" w:color="auto" w:fill="FFFFFF"/>
        </w:rPr>
      </w:pPr>
      <w:r>
        <w:rPr>
          <w:rFonts w:eastAsia="Times New Roman" w:cs="Arial"/>
          <w:color w:val="000000" w:themeColor="text1"/>
          <w:shd w:val="clear" w:color="auto" w:fill="FFFFFF"/>
        </w:rPr>
        <w:tab/>
        <w:t xml:space="preserve">Trois </w:t>
      </w:r>
      <w:r w:rsidR="00C83B74">
        <w:rPr>
          <w:rFonts w:eastAsia="Times New Roman" w:cs="Arial"/>
          <w:color w:val="000000" w:themeColor="text1"/>
          <w:shd w:val="clear" w:color="auto" w:fill="FFFFFF"/>
        </w:rPr>
        <w:t>situations-</w:t>
      </w:r>
      <w:r w:rsidR="00460222">
        <w:rPr>
          <w:rFonts w:eastAsia="Times New Roman" w:cs="Arial"/>
          <w:color w:val="000000" w:themeColor="text1"/>
          <w:shd w:val="clear" w:color="auto" w:fill="FFFFFF"/>
        </w:rPr>
        <w:t>types de pays peuvent être distingué</w:t>
      </w:r>
      <w:r w:rsidR="00C83B74">
        <w:rPr>
          <w:rFonts w:eastAsia="Times New Roman" w:cs="Arial"/>
          <w:color w:val="000000" w:themeColor="text1"/>
          <w:shd w:val="clear" w:color="auto" w:fill="FFFFFF"/>
        </w:rPr>
        <w:t>e</w:t>
      </w:r>
      <w:r w:rsidR="00460222">
        <w:rPr>
          <w:rFonts w:eastAsia="Times New Roman" w:cs="Arial"/>
          <w:color w:val="000000" w:themeColor="text1"/>
          <w:shd w:val="clear" w:color="auto" w:fill="FFFFFF"/>
        </w:rPr>
        <w:t>s</w:t>
      </w:r>
    </w:p>
    <w:p w14:paraId="6CB11014" w14:textId="084A0367" w:rsidR="00460222" w:rsidRDefault="00460222" w:rsidP="00460222">
      <w:p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 </w:t>
      </w:r>
      <w:r w:rsidRPr="00460222">
        <w:rPr>
          <w:rFonts w:eastAsia="Times New Roman" w:cs="Arial"/>
          <w:color w:val="000000" w:themeColor="text1"/>
          <w:shd w:val="clear" w:color="auto" w:fill="FFFFFF"/>
        </w:rPr>
        <w:t>Pays à diaspora :</w:t>
      </w:r>
      <w:r>
        <w:rPr>
          <w:rFonts w:eastAsia="Times New Roman" w:cs="Arial"/>
          <w:color w:val="000000" w:themeColor="text1"/>
          <w:shd w:val="clear" w:color="auto" w:fill="FFFFFF"/>
        </w:rPr>
        <w:t xml:space="preserve"> la </w:t>
      </w:r>
      <w:r w:rsidRPr="00460222">
        <w:rPr>
          <w:rFonts w:eastAsia="Times New Roman" w:cs="Arial"/>
          <w:color w:val="000000" w:themeColor="text1"/>
          <w:shd w:val="clear" w:color="auto" w:fill="FFFFFF"/>
        </w:rPr>
        <w:t xml:space="preserve">migration entraîne une baisse </w:t>
      </w:r>
      <w:r w:rsidR="0032633C">
        <w:rPr>
          <w:rFonts w:eastAsia="Times New Roman" w:cs="Arial"/>
          <w:color w:val="000000" w:themeColor="text1"/>
          <w:shd w:val="clear" w:color="auto" w:fill="FFFFFF"/>
        </w:rPr>
        <w:t xml:space="preserve">ou un maintien à bas niveau </w:t>
      </w:r>
      <w:r w:rsidRPr="00460222">
        <w:rPr>
          <w:rFonts w:eastAsia="Times New Roman" w:cs="Arial"/>
          <w:color w:val="000000" w:themeColor="text1"/>
          <w:shd w:val="clear" w:color="auto" w:fill="FFFFFF"/>
        </w:rPr>
        <w:t>du salaire domestique (</w:t>
      </w:r>
      <w:r w:rsidR="002D042A">
        <w:rPr>
          <w:rFonts w:eastAsia="Times New Roman" w:cs="Arial"/>
          <w:color w:val="000000" w:themeColor="text1"/>
          <w:shd w:val="clear" w:color="auto" w:fill="FFFFFF"/>
        </w:rPr>
        <w:t xml:space="preserve">effet </w:t>
      </w:r>
      <w:r w:rsidR="002D042A" w:rsidRPr="002D042A">
        <w:rPr>
          <w:rFonts w:eastAsia="Times New Roman" w:cs="Arial"/>
          <w:color w:val="000000" w:themeColor="text1"/>
          <w:shd w:val="clear" w:color="auto" w:fill="FFFFFF"/>
        </w:rPr>
        <w:t>Docquier</w:t>
      </w:r>
      <w:r w:rsidR="002D042A">
        <w:rPr>
          <w:rFonts w:eastAsia="Times New Roman" w:cs="Arial"/>
          <w:color w:val="000000" w:themeColor="text1"/>
          <w:shd w:val="clear" w:color="auto" w:fill="FFFFFF"/>
        </w:rPr>
        <w:t xml:space="preserve">) </w:t>
      </w:r>
      <w:r w:rsidRPr="00460222">
        <w:rPr>
          <w:rFonts w:eastAsia="Times New Roman" w:cs="Arial"/>
          <w:color w:val="000000" w:themeColor="text1"/>
          <w:shd w:val="clear" w:color="auto" w:fill="FFFFFF"/>
        </w:rPr>
        <w:t>les migrants</w:t>
      </w:r>
      <w:r>
        <w:rPr>
          <w:rFonts w:eastAsia="Times New Roman" w:cs="Arial"/>
          <w:color w:val="000000" w:themeColor="text1"/>
          <w:shd w:val="clear" w:color="auto" w:fill="FFFFFF"/>
        </w:rPr>
        <w:t xml:space="preserve"> sont plus qualifiés que la moyen</w:t>
      </w:r>
      <w:r w:rsidR="0032633C">
        <w:rPr>
          <w:rFonts w:eastAsia="Times New Roman" w:cs="Arial"/>
          <w:color w:val="000000" w:themeColor="text1"/>
          <w:shd w:val="clear" w:color="auto" w:fill="FFFFFF"/>
        </w:rPr>
        <w:t xml:space="preserve">ne dans la main-d’œuvre locale), voir les </w:t>
      </w:r>
      <w:r w:rsidR="002D042A">
        <w:rPr>
          <w:rFonts w:eastAsia="Times New Roman" w:cs="Arial"/>
          <w:color w:val="000000" w:themeColor="text1"/>
          <w:shd w:val="clear" w:color="auto" w:fill="FFFFFF"/>
        </w:rPr>
        <w:t>PMA</w:t>
      </w:r>
      <w:r w:rsidR="002D042A" w:rsidRPr="002D042A">
        <w:rPr>
          <w:rFonts w:eastAsia="Times New Roman" w:cs="Arial"/>
          <w:color w:val="000000" w:themeColor="text1"/>
          <w:shd w:val="clear" w:color="auto" w:fill="FFFFFF"/>
        </w:rPr>
        <w:t xml:space="preserve">. </w:t>
      </w:r>
      <w:r w:rsidR="002D042A">
        <w:rPr>
          <w:rFonts w:eastAsia="Times New Roman" w:cs="Arial"/>
          <w:color w:val="000000" w:themeColor="text1"/>
          <w:shd w:val="clear" w:color="auto" w:fill="FFFFFF"/>
        </w:rPr>
        <w:t xml:space="preserve"> </w:t>
      </w:r>
    </w:p>
    <w:p w14:paraId="34C60C40" w14:textId="4A9B140F" w:rsidR="00460222" w:rsidRPr="00460222" w:rsidRDefault="00460222" w:rsidP="00460222">
      <w:pPr>
        <w:rPr>
          <w:rFonts w:eastAsia="Times New Roman" w:cs="Arial"/>
          <w:color w:val="000000" w:themeColor="text1"/>
          <w:shd w:val="clear" w:color="auto" w:fill="FFFFFF"/>
        </w:rPr>
      </w:pPr>
      <w:r>
        <w:rPr>
          <w:rFonts w:eastAsia="Times New Roman" w:cs="Arial"/>
          <w:color w:val="000000" w:themeColor="text1"/>
          <w:shd w:val="clear" w:color="auto" w:fill="FFFFFF"/>
        </w:rPr>
        <w:t xml:space="preserve">. Pays à diaspora d’accueil comme le Liban. Haut niveau de formation de la main-d’œuvre </w:t>
      </w:r>
      <w:r w:rsidR="00A07ADC">
        <w:rPr>
          <w:rFonts w:eastAsia="Times New Roman" w:cs="Arial"/>
          <w:color w:val="000000" w:themeColor="text1"/>
          <w:shd w:val="clear" w:color="auto" w:fill="FFFFFF"/>
        </w:rPr>
        <w:t xml:space="preserve">nationale </w:t>
      </w:r>
      <w:r>
        <w:rPr>
          <w:rFonts w:eastAsia="Times New Roman" w:cs="Arial"/>
          <w:color w:val="000000" w:themeColor="text1"/>
          <w:shd w:val="clear" w:color="auto" w:fill="FFFFFF"/>
        </w:rPr>
        <w:t xml:space="preserve">et accueil de migrants (Syriens), </w:t>
      </w:r>
      <w:r w:rsidR="00A07ADC">
        <w:rPr>
          <w:rFonts w:eastAsia="Times New Roman" w:cs="Arial"/>
          <w:color w:val="000000" w:themeColor="text1"/>
          <w:shd w:val="clear" w:color="auto" w:fill="FFFFFF"/>
        </w:rPr>
        <w:t xml:space="preserve">l’ensemble </w:t>
      </w:r>
      <w:r>
        <w:rPr>
          <w:rFonts w:eastAsia="Times New Roman" w:cs="Arial"/>
          <w:color w:val="000000" w:themeColor="text1"/>
          <w:shd w:val="clear" w:color="auto" w:fill="FFFFFF"/>
        </w:rPr>
        <w:t xml:space="preserve">entraîne le départ des qualifiés. </w:t>
      </w:r>
    </w:p>
    <w:p w14:paraId="0656852A" w14:textId="00C31B15" w:rsidR="00460222" w:rsidRDefault="00460222" w:rsidP="00745180">
      <w:pPr>
        <w:rPr>
          <w:rFonts w:eastAsia="Times New Roman" w:cs="Times New Roman"/>
          <w:color w:val="000000"/>
        </w:rPr>
      </w:pPr>
      <w:r>
        <w:rPr>
          <w:rFonts w:eastAsia="Times New Roman" w:cs="Times New Roman"/>
          <w:color w:val="000000"/>
        </w:rPr>
        <w:t xml:space="preserve">. Pays à immigration : dans la plupart des études, l’impact en termes de salaires est positif pour le migrant d’une part et pour le pays d’accueil d’autre part. </w:t>
      </w:r>
      <w:r w:rsidR="008762C4">
        <w:rPr>
          <w:rFonts w:eastAsia="Times New Roman" w:cs="Times New Roman"/>
          <w:color w:val="000000"/>
        </w:rPr>
        <w:t>V</w:t>
      </w:r>
      <w:r>
        <w:rPr>
          <w:rFonts w:eastAsia="Times New Roman" w:cs="Times New Roman"/>
          <w:color w:val="000000"/>
        </w:rPr>
        <w:t xml:space="preserve">oir </w:t>
      </w:r>
      <w:r w:rsidR="0032633C">
        <w:rPr>
          <w:rFonts w:eastAsia="Times New Roman" w:cs="Times New Roman"/>
          <w:color w:val="000000"/>
        </w:rPr>
        <w:t xml:space="preserve">Chine littorale. </w:t>
      </w:r>
      <w:r>
        <w:rPr>
          <w:rFonts w:eastAsia="Times New Roman" w:cs="Times New Roman"/>
          <w:color w:val="000000"/>
        </w:rPr>
        <w:t xml:space="preserve"> </w:t>
      </w:r>
    </w:p>
    <w:p w14:paraId="091B205A" w14:textId="77777777" w:rsidR="008E0834" w:rsidRPr="005A3170" w:rsidRDefault="008E0834" w:rsidP="005A3170">
      <w:pPr>
        <w:rPr>
          <w:rFonts w:eastAsia="Times New Roman"/>
          <w:color w:val="000000"/>
        </w:rPr>
      </w:pPr>
    </w:p>
    <w:p w14:paraId="4C2B1EED" w14:textId="538FE500" w:rsidR="00D1258A" w:rsidRPr="00022CE4" w:rsidRDefault="0086598C" w:rsidP="00745180">
      <w:pPr>
        <w:rPr>
          <w:rFonts w:eastAsia="Times New Roman" w:cs="Times New Roman"/>
          <w:i/>
          <w:color w:val="000000" w:themeColor="text1"/>
        </w:rPr>
      </w:pPr>
      <w:r>
        <w:rPr>
          <w:rFonts w:eastAsia="Times New Roman" w:cs="Times New Roman"/>
          <w:color w:val="000000" w:themeColor="text1"/>
        </w:rPr>
        <w:t>8</w:t>
      </w:r>
      <w:r w:rsidR="00745180" w:rsidRPr="00022CE4">
        <w:rPr>
          <w:rFonts w:eastAsia="Times New Roman" w:cs="Times New Roman"/>
          <w:color w:val="000000" w:themeColor="text1"/>
        </w:rPr>
        <w:t xml:space="preserve">. </w:t>
      </w:r>
      <w:r w:rsidR="00D1258A" w:rsidRPr="00024AF2">
        <w:rPr>
          <w:rFonts w:eastAsia="Times New Roman" w:cs="Times New Roman"/>
          <w:color w:val="00B050"/>
        </w:rPr>
        <w:t>Clément Sehier (Lille</w:t>
      </w:r>
      <w:r w:rsidR="00022CE4" w:rsidRPr="00024AF2">
        <w:rPr>
          <w:rFonts w:eastAsia="Times New Roman" w:cs="Times New Roman"/>
          <w:color w:val="00B050"/>
        </w:rPr>
        <w:t>, LEM</w:t>
      </w:r>
      <w:r w:rsidR="00D1258A" w:rsidRPr="00024AF2">
        <w:rPr>
          <w:rFonts w:eastAsia="Times New Roman" w:cs="Times New Roman"/>
          <w:color w:val="00B050"/>
        </w:rPr>
        <w:t>) </w:t>
      </w:r>
      <w:r w:rsidR="00745180" w:rsidRPr="00024AF2">
        <w:rPr>
          <w:rFonts w:eastAsia="Times New Roman" w:cs="Times New Roman"/>
          <w:color w:val="00B050"/>
        </w:rPr>
        <w:t xml:space="preserve">lui succède avec </w:t>
      </w:r>
      <w:r w:rsidR="00D1258A" w:rsidRPr="00024AF2">
        <w:rPr>
          <w:rFonts w:eastAsia="Times New Roman" w:cs="Times New Roman"/>
          <w:color w:val="00B050"/>
        </w:rPr>
        <w:t xml:space="preserve">: </w:t>
      </w:r>
      <w:r w:rsidR="00D1258A" w:rsidRPr="00024AF2">
        <w:rPr>
          <w:rFonts w:eastAsia="Times New Roman" w:cs="Times New Roman"/>
          <w:i/>
          <w:color w:val="00B050"/>
        </w:rPr>
        <w:t>Fiabilité et comparabilité des données, l’exemple des statistiques chinoises</w:t>
      </w:r>
    </w:p>
    <w:p w14:paraId="7DB5DF89" w14:textId="7BEB0E34" w:rsidR="00745180" w:rsidRDefault="00894A16" w:rsidP="00745180">
      <w:pPr>
        <w:rPr>
          <w:rFonts w:eastAsia="Times New Roman" w:cs="Times New Roman"/>
        </w:rPr>
      </w:pPr>
      <w:r>
        <w:rPr>
          <w:rFonts w:eastAsia="Times New Roman" w:cs="Times New Roman"/>
        </w:rPr>
        <w:tab/>
      </w:r>
      <w:r w:rsidR="00B315B2">
        <w:rPr>
          <w:rFonts w:eastAsia="Times New Roman" w:cs="Times New Roman"/>
        </w:rPr>
        <w:t xml:space="preserve">Le papier a été rédigé en collaboration avec Muriel Perisse </w:t>
      </w:r>
      <w:r w:rsidR="00022CE4">
        <w:rPr>
          <w:rFonts w:eastAsia="Times New Roman" w:cs="Times New Roman"/>
        </w:rPr>
        <w:t xml:space="preserve">(Arras) </w:t>
      </w:r>
      <w:r w:rsidR="00B315B2">
        <w:rPr>
          <w:rFonts w:eastAsia="Times New Roman" w:cs="Times New Roman"/>
        </w:rPr>
        <w:t>et Elsa Lafaye de Micheaux</w:t>
      </w:r>
      <w:r w:rsidR="00022CE4">
        <w:rPr>
          <w:rFonts w:eastAsia="Times New Roman" w:cs="Times New Roman"/>
        </w:rPr>
        <w:t xml:space="preserve"> (Kuala Lumpur/Rennes)</w:t>
      </w:r>
      <w:r w:rsidR="00B315B2">
        <w:rPr>
          <w:rFonts w:eastAsia="Times New Roman" w:cs="Times New Roman"/>
        </w:rPr>
        <w:t xml:space="preserve">. </w:t>
      </w:r>
    </w:p>
    <w:p w14:paraId="11BCC908" w14:textId="3D108642" w:rsidR="00D336A3" w:rsidRDefault="00022CE4" w:rsidP="00022CE4">
      <w:pPr>
        <w:ind w:firstLine="284"/>
        <w:rPr>
          <w:rFonts w:eastAsia="Times New Roman" w:cs="Times New Roman"/>
        </w:rPr>
      </w:pPr>
      <w:r>
        <w:rPr>
          <w:rFonts w:eastAsia="Times New Roman" w:cs="Times New Roman"/>
        </w:rPr>
        <w:t xml:space="preserve">En termes de </w:t>
      </w:r>
      <w:r w:rsidRPr="00022CE4">
        <w:rPr>
          <w:rFonts w:eastAsia="Times New Roman" w:cs="Times New Roman"/>
          <w:color w:val="7030A0"/>
        </w:rPr>
        <w:t>m</w:t>
      </w:r>
      <w:r w:rsidR="00D336A3" w:rsidRPr="00022CE4">
        <w:rPr>
          <w:rFonts w:eastAsia="Times New Roman" w:cs="Times New Roman"/>
          <w:color w:val="7030A0"/>
        </w:rPr>
        <w:t xml:space="preserve">éthodologie et </w:t>
      </w:r>
      <w:r w:rsidRPr="00022CE4">
        <w:rPr>
          <w:rFonts w:eastAsia="Times New Roman" w:cs="Times New Roman"/>
          <w:color w:val="7030A0"/>
        </w:rPr>
        <w:t>de concepts</w:t>
      </w:r>
      <w:r>
        <w:rPr>
          <w:rFonts w:eastAsia="Times New Roman" w:cs="Times New Roman"/>
        </w:rPr>
        <w:t>, l</w:t>
      </w:r>
      <w:r w:rsidR="00D336A3">
        <w:rPr>
          <w:rFonts w:eastAsia="Times New Roman" w:cs="Times New Roman"/>
        </w:rPr>
        <w:t>es chercheurs font face à un réel manque</w:t>
      </w:r>
      <w:r>
        <w:rPr>
          <w:rFonts w:eastAsia="Times New Roman" w:cs="Times New Roman"/>
        </w:rPr>
        <w:t xml:space="preserve"> de</w:t>
      </w:r>
      <w:r w:rsidR="00D336A3">
        <w:rPr>
          <w:rFonts w:eastAsia="Times New Roman" w:cs="Times New Roman"/>
        </w:rPr>
        <w:t xml:space="preserve"> statistiques du travail en Chine</w:t>
      </w:r>
      <w:r w:rsidR="00E677DA">
        <w:rPr>
          <w:rFonts w:eastAsia="Times New Roman" w:cs="Times New Roman"/>
        </w:rPr>
        <w:t>. Il s’agit d’un dossier politiquement sensible</w:t>
      </w:r>
      <w:r w:rsidR="00D62EC0">
        <w:rPr>
          <w:rFonts w:eastAsia="Times New Roman" w:cs="Times New Roman"/>
        </w:rPr>
        <w:t>, renforcé par le traumatisme de Tienanmen (1989)</w:t>
      </w:r>
      <w:r w:rsidR="001F3C3C">
        <w:rPr>
          <w:rFonts w:eastAsia="Times New Roman" w:cs="Times New Roman"/>
        </w:rPr>
        <w:t xml:space="preserve"> qui fait craindre au pouvoir en place des manifestations liées aux revendications salariales</w:t>
      </w:r>
      <w:r w:rsidR="0025337E">
        <w:rPr>
          <w:rFonts w:eastAsia="Times New Roman" w:cs="Times New Roman"/>
        </w:rPr>
        <w:t xml:space="preserve"> et pouvant déboucher sur une remise en question politique du régime</w:t>
      </w:r>
      <w:r w:rsidR="001F3C3C">
        <w:rPr>
          <w:rFonts w:eastAsia="Times New Roman" w:cs="Times New Roman"/>
        </w:rPr>
        <w:t xml:space="preserve">. </w:t>
      </w:r>
      <w:r w:rsidR="00061B4A">
        <w:rPr>
          <w:rFonts w:eastAsia="Times New Roman" w:cs="Times New Roman"/>
        </w:rPr>
        <w:t>Un réel</w:t>
      </w:r>
      <w:r w:rsidR="008B461F">
        <w:rPr>
          <w:rFonts w:eastAsia="Times New Roman" w:cs="Times New Roman"/>
        </w:rPr>
        <w:t xml:space="preserve"> contrôle politique des statistiques</w:t>
      </w:r>
      <w:r w:rsidR="00061B4A">
        <w:rPr>
          <w:rFonts w:eastAsia="Times New Roman" w:cs="Times New Roman"/>
        </w:rPr>
        <w:t xml:space="preserve"> s’exerce encore dans le pays. </w:t>
      </w:r>
    </w:p>
    <w:p w14:paraId="3A719963" w14:textId="26C7A0D9" w:rsidR="009F61BC" w:rsidRDefault="009F61BC" w:rsidP="00745180">
      <w:pPr>
        <w:rPr>
          <w:rFonts w:eastAsia="Times New Roman" w:cs="Times New Roman"/>
        </w:rPr>
      </w:pPr>
      <w:r>
        <w:rPr>
          <w:rFonts w:eastAsia="Times New Roman" w:cs="Times New Roman"/>
        </w:rPr>
        <w:tab/>
        <w:t>Techniquement,</w:t>
      </w:r>
      <w:r w:rsidR="00061B4A">
        <w:rPr>
          <w:rFonts w:eastAsia="Times New Roman" w:cs="Times New Roman"/>
        </w:rPr>
        <w:t xml:space="preserve"> la collecte </w:t>
      </w:r>
      <w:r w:rsidR="006C5EC2">
        <w:rPr>
          <w:rFonts w:eastAsia="Times New Roman" w:cs="Times New Roman"/>
        </w:rPr>
        <w:t xml:space="preserve">statistiques </w:t>
      </w:r>
      <w:r w:rsidR="00061B4A">
        <w:rPr>
          <w:rFonts w:eastAsia="Times New Roman" w:cs="Times New Roman"/>
        </w:rPr>
        <w:t>est héritée</w:t>
      </w:r>
      <w:r w:rsidR="00594570">
        <w:rPr>
          <w:rFonts w:eastAsia="Times New Roman" w:cs="Times New Roman"/>
        </w:rPr>
        <w:t xml:space="preserve"> d’une économie planifiée ; l’information est agrégée à par</w:t>
      </w:r>
      <w:r w:rsidR="00832AFD">
        <w:rPr>
          <w:rFonts w:eastAsia="Times New Roman" w:cs="Times New Roman"/>
        </w:rPr>
        <w:t xml:space="preserve">tir des entreprises qui </w:t>
      </w:r>
      <w:r w:rsidR="00022CE4">
        <w:rPr>
          <w:rFonts w:eastAsia="Times New Roman" w:cs="Times New Roman"/>
        </w:rPr>
        <w:t>font</w:t>
      </w:r>
      <w:r w:rsidR="00832AFD">
        <w:rPr>
          <w:rFonts w:eastAsia="Times New Roman" w:cs="Times New Roman"/>
        </w:rPr>
        <w:t xml:space="preserve"> remonter leurs données jusqu’aux ministères centraux. </w:t>
      </w:r>
      <w:r w:rsidR="00061B4A">
        <w:rPr>
          <w:rFonts w:eastAsia="Times New Roman" w:cs="Times New Roman"/>
        </w:rPr>
        <w:t xml:space="preserve">Malgré les réformes post 1992, </w:t>
      </w:r>
      <w:r w:rsidR="009F1986">
        <w:rPr>
          <w:rFonts w:eastAsia="Times New Roman" w:cs="Times New Roman"/>
        </w:rPr>
        <w:t xml:space="preserve">l’héritage de la période maoïste n’a pas complètement disparu. </w:t>
      </w:r>
      <w:r w:rsidR="00AC3A2E">
        <w:rPr>
          <w:rFonts w:eastAsia="Times New Roman" w:cs="Times New Roman"/>
        </w:rPr>
        <w:t>Trois sources principales sont à distinguer :</w:t>
      </w:r>
    </w:p>
    <w:p w14:paraId="3D31322A" w14:textId="537270A9" w:rsidR="00AC3A2E" w:rsidRDefault="00AC3A2E" w:rsidP="00745180">
      <w:pPr>
        <w:rPr>
          <w:rFonts w:eastAsia="Times New Roman" w:cs="Times New Roman"/>
        </w:rPr>
      </w:pPr>
      <w:r>
        <w:rPr>
          <w:rFonts w:eastAsia="Times New Roman" w:cs="Times New Roman"/>
        </w:rPr>
        <w:t xml:space="preserve">. Le </w:t>
      </w:r>
      <w:r w:rsidRPr="00872733">
        <w:rPr>
          <w:rFonts w:eastAsia="Times New Roman" w:cs="Times New Roman"/>
          <w:i/>
        </w:rPr>
        <w:t>Labour Reporting System </w:t>
      </w:r>
      <w:r>
        <w:rPr>
          <w:rFonts w:eastAsia="Times New Roman" w:cs="Times New Roman"/>
        </w:rPr>
        <w:t xml:space="preserve">: </w:t>
      </w:r>
      <w:r w:rsidR="00CB6011">
        <w:rPr>
          <w:rFonts w:eastAsia="Times New Roman" w:cs="Times New Roman"/>
        </w:rPr>
        <w:t>c’est la principale source, élaborée par le</w:t>
      </w:r>
      <w:r w:rsidR="006E2356">
        <w:rPr>
          <w:rFonts w:eastAsia="Times New Roman" w:cs="Times New Roman"/>
        </w:rPr>
        <w:t xml:space="preserve"> National Bureau of Statistics ; on la retrouve dans le </w:t>
      </w:r>
      <w:r w:rsidR="006E2356" w:rsidRPr="006E2356">
        <w:rPr>
          <w:rFonts w:eastAsia="Times New Roman" w:cs="Times New Roman"/>
          <w:i/>
        </w:rPr>
        <w:t>China Statistical Yearbook</w:t>
      </w:r>
      <w:r w:rsidR="00061B4A">
        <w:rPr>
          <w:rFonts w:eastAsia="Times New Roman" w:cs="Times New Roman"/>
        </w:rPr>
        <w:t xml:space="preserve"> </w:t>
      </w:r>
      <w:r w:rsidR="006E2356">
        <w:rPr>
          <w:rFonts w:eastAsia="Times New Roman" w:cs="Times New Roman"/>
        </w:rPr>
        <w:t>; elle distingue</w:t>
      </w:r>
      <w:r w:rsidR="00CB6011">
        <w:rPr>
          <w:rFonts w:eastAsia="Times New Roman" w:cs="Times New Roman"/>
        </w:rPr>
        <w:t xml:space="preserve"> </w:t>
      </w:r>
      <w:r w:rsidR="00EE278E">
        <w:rPr>
          <w:rFonts w:eastAsia="Times New Roman" w:cs="Times New Roman"/>
        </w:rPr>
        <w:t xml:space="preserve">deux sous-ensembles, </w:t>
      </w:r>
      <w:r w:rsidR="00CB6011">
        <w:rPr>
          <w:rFonts w:eastAsia="Times New Roman" w:cs="Times New Roman"/>
        </w:rPr>
        <w:t xml:space="preserve">le secteur public </w:t>
      </w:r>
      <w:r w:rsidR="00EE278E">
        <w:rPr>
          <w:rFonts w:eastAsia="Times New Roman" w:cs="Times New Roman"/>
        </w:rPr>
        <w:t>et le</w:t>
      </w:r>
      <w:r w:rsidR="00061B4A">
        <w:rPr>
          <w:rFonts w:eastAsia="Times New Roman" w:cs="Times New Roman"/>
        </w:rPr>
        <w:t xml:space="preserve"> secteur privé </w:t>
      </w:r>
      <w:r w:rsidR="00CB6011">
        <w:rPr>
          <w:rFonts w:eastAsia="Times New Roman" w:cs="Times New Roman"/>
        </w:rPr>
        <w:t xml:space="preserve">; elle inventorie les données de toutes les entreprises de plus de 100 salariés, 10% des entreprises de 20 à 99 salariés, mais aucune de moins de 20 salariés. On note quatre biais : </w:t>
      </w:r>
      <w:r w:rsidR="00A2554B">
        <w:rPr>
          <w:rFonts w:eastAsia="Times New Roman" w:cs="Times New Roman"/>
        </w:rPr>
        <w:t>la non-prise en compte des</w:t>
      </w:r>
      <w:r w:rsidR="000731E4">
        <w:rPr>
          <w:rFonts w:eastAsia="Times New Roman" w:cs="Times New Roman"/>
        </w:rPr>
        <w:t xml:space="preserve"> petites PME et d</w:t>
      </w:r>
      <w:r w:rsidR="00CB6011">
        <w:rPr>
          <w:rFonts w:eastAsia="Times New Roman" w:cs="Times New Roman"/>
        </w:rPr>
        <w:t xml:space="preserve">es TPE, l’incitation à sous-évaluer le niveau d’emploi (ce qui diminue les charges sociales), </w:t>
      </w:r>
      <w:r w:rsidR="006E2356">
        <w:rPr>
          <w:rFonts w:eastAsia="Times New Roman" w:cs="Times New Roman"/>
        </w:rPr>
        <w:t xml:space="preserve">la collecte de données via les seules entreprises (pas de contre-enquête directe sur le terrain) et l’exclusion des auto-employeurs et des travailleurs informels, soit 30% de l’emploi total. </w:t>
      </w:r>
    </w:p>
    <w:p w14:paraId="0581C113" w14:textId="3323A45E" w:rsidR="00C7631C" w:rsidRDefault="00C7631C" w:rsidP="00C7631C">
      <w:pPr>
        <w:rPr>
          <w:rFonts w:eastAsia="Times New Roman" w:cs="Times New Roman"/>
        </w:rPr>
      </w:pPr>
      <w:r>
        <w:rPr>
          <w:rFonts w:eastAsia="Times New Roman" w:cs="Times New Roman"/>
        </w:rPr>
        <w:t xml:space="preserve">. Le </w:t>
      </w:r>
      <w:r w:rsidRPr="00C7631C">
        <w:rPr>
          <w:rFonts w:eastAsia="Times New Roman" w:cs="Times New Roman"/>
          <w:i/>
        </w:rPr>
        <w:t>Labour Survey</w:t>
      </w:r>
      <w:r>
        <w:rPr>
          <w:rFonts w:eastAsia="Times New Roman" w:cs="Times New Roman"/>
        </w:rPr>
        <w:t xml:space="preserve"> est également élaboré par </w:t>
      </w:r>
      <w:r w:rsidRPr="00C7631C">
        <w:rPr>
          <w:rFonts w:eastAsia="Times New Roman" w:cs="Times New Roman"/>
        </w:rPr>
        <w:t>le NBS</w:t>
      </w:r>
      <w:r>
        <w:rPr>
          <w:rFonts w:eastAsia="Times New Roman" w:cs="Times New Roman"/>
        </w:rPr>
        <w:t>, mais fonctionne par échantillon</w:t>
      </w:r>
      <w:r w:rsidR="00061B4A">
        <w:rPr>
          <w:rFonts w:eastAsia="Times New Roman" w:cs="Times New Roman"/>
        </w:rPr>
        <w:t xml:space="preserve"> </w:t>
      </w:r>
      <w:r>
        <w:rPr>
          <w:rFonts w:eastAsia="Times New Roman" w:cs="Times New Roman"/>
        </w:rPr>
        <w:t xml:space="preserve">; il s’inspire des normes internationales, sa </w:t>
      </w:r>
      <w:r w:rsidRPr="00C7631C">
        <w:rPr>
          <w:rFonts w:eastAsia="Times New Roman" w:cs="Times New Roman"/>
        </w:rPr>
        <w:t xml:space="preserve">comparabilité </w:t>
      </w:r>
      <w:r>
        <w:rPr>
          <w:rFonts w:eastAsia="Times New Roman" w:cs="Times New Roman"/>
        </w:rPr>
        <w:t xml:space="preserve">est </w:t>
      </w:r>
      <w:r w:rsidRPr="00C7631C">
        <w:rPr>
          <w:rFonts w:eastAsia="Times New Roman" w:cs="Times New Roman"/>
        </w:rPr>
        <w:t>améliorée</w:t>
      </w:r>
      <w:r>
        <w:rPr>
          <w:rFonts w:eastAsia="Times New Roman" w:cs="Times New Roman"/>
        </w:rPr>
        <w:t xml:space="preserve">, mais il fournit </w:t>
      </w:r>
      <w:r w:rsidRPr="00C7631C">
        <w:rPr>
          <w:rFonts w:eastAsia="Times New Roman" w:cs="Times New Roman"/>
        </w:rPr>
        <w:t>peu d'informations sur les salaires</w:t>
      </w:r>
      <w:r>
        <w:rPr>
          <w:rFonts w:eastAsia="Times New Roman" w:cs="Times New Roman"/>
        </w:rPr>
        <w:t>.</w:t>
      </w:r>
      <w:r>
        <w:rPr>
          <w:rFonts w:eastAsia="Times New Roman" w:cs="Times New Roman"/>
        </w:rPr>
        <w:br/>
        <w:t xml:space="preserve">. Les données publiées par ailleurs par le gouvernement ou ses agences. </w:t>
      </w:r>
    </w:p>
    <w:p w14:paraId="788CA81F" w14:textId="4C747F3C" w:rsidR="001308DC" w:rsidRDefault="001308DC" w:rsidP="001308DC">
      <w:pPr>
        <w:rPr>
          <w:rFonts w:eastAsia="Times New Roman" w:cs="Times New Roman"/>
        </w:rPr>
      </w:pPr>
      <w:r>
        <w:rPr>
          <w:rFonts w:eastAsia="Times New Roman" w:cs="Times New Roman"/>
        </w:rPr>
        <w:tab/>
        <w:t>En longue période, les statistiques chinoises présentent des obstacles réels à la comparabilité des données</w:t>
      </w:r>
      <w:r w:rsidR="00D6380F">
        <w:rPr>
          <w:rFonts w:eastAsia="Times New Roman" w:cs="Times New Roman"/>
        </w:rPr>
        <w:t xml:space="preserve">. </w:t>
      </w:r>
      <w:r>
        <w:rPr>
          <w:rFonts w:eastAsia="Times New Roman" w:cs="Times New Roman"/>
        </w:rPr>
        <w:t>Les séries 1949-1980 sont très hétérogènes, parcellaires ou inexistantes</w:t>
      </w:r>
      <w:r w:rsidR="00D6380F">
        <w:rPr>
          <w:rFonts w:eastAsia="Times New Roman" w:cs="Times New Roman"/>
        </w:rPr>
        <w:t xml:space="preserve">. Si la série </w:t>
      </w:r>
      <w:r w:rsidR="000731E4">
        <w:rPr>
          <w:rFonts w:eastAsia="Times New Roman" w:cs="Times New Roman"/>
        </w:rPr>
        <w:t xml:space="preserve">doit </w:t>
      </w:r>
      <w:r w:rsidR="00D6380F">
        <w:rPr>
          <w:rFonts w:eastAsia="Times New Roman" w:cs="Times New Roman"/>
        </w:rPr>
        <w:t>débute</w:t>
      </w:r>
      <w:r w:rsidR="000731E4">
        <w:rPr>
          <w:rFonts w:eastAsia="Times New Roman" w:cs="Times New Roman"/>
        </w:rPr>
        <w:t>r</w:t>
      </w:r>
      <w:r w:rsidR="00D6380F">
        <w:rPr>
          <w:rFonts w:eastAsia="Times New Roman" w:cs="Times New Roman"/>
        </w:rPr>
        <w:t xml:space="preserve"> e</w:t>
      </w:r>
      <w:r>
        <w:rPr>
          <w:rFonts w:eastAsia="Times New Roman" w:cs="Times New Roman"/>
        </w:rPr>
        <w:t>n 1950,</w:t>
      </w:r>
      <w:r w:rsidRPr="001308DC">
        <w:rPr>
          <w:rFonts w:eastAsia="Times New Roman" w:cs="Times New Roman"/>
        </w:rPr>
        <w:t xml:space="preserve"> l'industrie </w:t>
      </w:r>
      <w:r w:rsidR="00061B4A">
        <w:rPr>
          <w:rFonts w:eastAsia="Times New Roman" w:cs="Times New Roman"/>
        </w:rPr>
        <w:t xml:space="preserve">était </w:t>
      </w:r>
      <w:r w:rsidR="000731E4">
        <w:rPr>
          <w:rFonts w:eastAsia="Times New Roman" w:cs="Times New Roman"/>
        </w:rPr>
        <w:t xml:space="preserve">alors </w:t>
      </w:r>
      <w:r w:rsidRPr="001308DC">
        <w:rPr>
          <w:rFonts w:eastAsia="Times New Roman" w:cs="Times New Roman"/>
        </w:rPr>
        <w:t>sous-développée en Chine</w:t>
      </w:r>
      <w:r>
        <w:rPr>
          <w:rFonts w:eastAsia="Times New Roman" w:cs="Times New Roman"/>
        </w:rPr>
        <w:t xml:space="preserve">, ce qui augmente le poids des salaires ruraux dans la masse salariale. </w:t>
      </w:r>
      <w:r w:rsidR="00D6380F">
        <w:rPr>
          <w:rFonts w:eastAsia="Times New Roman" w:cs="Times New Roman"/>
        </w:rPr>
        <w:t xml:space="preserve">Par ailleurs, </w:t>
      </w:r>
      <w:r w:rsidR="000731E4">
        <w:rPr>
          <w:rFonts w:eastAsia="Times New Roman" w:cs="Times New Roman"/>
        </w:rPr>
        <w:t>le système des unités de production (</w:t>
      </w:r>
      <w:r w:rsidR="000731E4" w:rsidRPr="000731E4">
        <w:rPr>
          <w:rFonts w:eastAsia="Times New Roman" w:cs="Times New Roman"/>
          <w:i/>
        </w:rPr>
        <w:t>danwei</w:t>
      </w:r>
      <w:r w:rsidR="000731E4">
        <w:rPr>
          <w:rFonts w:eastAsia="Times New Roman" w:cs="Times New Roman"/>
        </w:rPr>
        <w:t xml:space="preserve">) qui encadraient non seulement le travail, mais la vie sociale et la rémunération des actifs, </w:t>
      </w:r>
      <w:r>
        <w:rPr>
          <w:rFonts w:eastAsia="Times New Roman" w:cs="Times New Roman"/>
        </w:rPr>
        <w:t>a créé un sous-système de salaires collectifs</w:t>
      </w:r>
      <w:r w:rsidR="000731E4">
        <w:rPr>
          <w:rFonts w:eastAsia="Times New Roman" w:cs="Times New Roman"/>
        </w:rPr>
        <w:t xml:space="preserve"> (avec une part socialisée importante)</w:t>
      </w:r>
      <w:r>
        <w:rPr>
          <w:rFonts w:eastAsia="Times New Roman" w:cs="Times New Roman"/>
        </w:rPr>
        <w:t>, difficile à intégrer dans des séries de salaires individuels.</w:t>
      </w:r>
      <w:r w:rsidR="00D6380F">
        <w:rPr>
          <w:rFonts w:eastAsia="Times New Roman" w:cs="Times New Roman"/>
        </w:rPr>
        <w:t xml:space="preserve"> À partir des années 1990, s’est développée une </w:t>
      </w:r>
      <w:r w:rsidRPr="001308DC">
        <w:rPr>
          <w:rFonts w:eastAsia="Times New Roman" w:cs="Times New Roman"/>
        </w:rPr>
        <w:t xml:space="preserve">relation salariale </w:t>
      </w:r>
      <w:r>
        <w:rPr>
          <w:rFonts w:eastAsia="Times New Roman" w:cs="Times New Roman"/>
        </w:rPr>
        <w:t xml:space="preserve">individualisée et </w:t>
      </w:r>
      <w:r w:rsidR="00D6380F">
        <w:rPr>
          <w:rFonts w:eastAsia="Times New Roman" w:cs="Times New Roman"/>
        </w:rPr>
        <w:t xml:space="preserve">capitaliste, </w:t>
      </w:r>
      <w:r w:rsidR="000731E4">
        <w:rPr>
          <w:rFonts w:eastAsia="Times New Roman" w:cs="Times New Roman"/>
        </w:rPr>
        <w:t>qui</w:t>
      </w:r>
      <w:r w:rsidR="00D6380F">
        <w:rPr>
          <w:rFonts w:eastAsia="Times New Roman" w:cs="Times New Roman"/>
        </w:rPr>
        <w:t xml:space="preserve"> s’est accompagnée d’une </w:t>
      </w:r>
      <w:r w:rsidRPr="001308DC">
        <w:rPr>
          <w:rFonts w:eastAsia="Times New Roman" w:cs="Times New Roman"/>
        </w:rPr>
        <w:t>hausse rapide des s</w:t>
      </w:r>
      <w:r w:rsidR="00D6380F">
        <w:rPr>
          <w:rFonts w:eastAsia="Times New Roman" w:cs="Times New Roman"/>
        </w:rPr>
        <w:t xml:space="preserve">alaires depuis les années 2000, mais n’est-ce pas aussi une compensation par rapport à </w:t>
      </w:r>
      <w:r w:rsidRPr="001308DC">
        <w:rPr>
          <w:rFonts w:eastAsia="Times New Roman" w:cs="Times New Roman"/>
        </w:rPr>
        <w:t>la perte d'avantages collectifs</w:t>
      </w:r>
      <w:r w:rsidR="00D6380F">
        <w:rPr>
          <w:rFonts w:eastAsia="Times New Roman" w:cs="Times New Roman"/>
        </w:rPr>
        <w:t xml:space="preserve"> (salaire social)</w:t>
      </w:r>
      <w:r w:rsidR="00061B4A">
        <w:rPr>
          <w:rFonts w:eastAsia="Times New Roman" w:cs="Times New Roman"/>
        </w:rPr>
        <w:t xml:space="preserve"> </w:t>
      </w:r>
      <w:r w:rsidRPr="001308DC">
        <w:rPr>
          <w:rFonts w:eastAsia="Times New Roman" w:cs="Times New Roman"/>
        </w:rPr>
        <w:t>?</w:t>
      </w:r>
    </w:p>
    <w:p w14:paraId="6129B939" w14:textId="7511F1C1" w:rsidR="00022CE4" w:rsidRDefault="00D6380F" w:rsidP="00061B4A">
      <w:pPr>
        <w:rPr>
          <w:rFonts w:eastAsia="Times New Roman" w:cs="Times New Roman"/>
        </w:rPr>
      </w:pPr>
      <w:r>
        <w:rPr>
          <w:rFonts w:eastAsia="Times New Roman" w:cs="Times New Roman"/>
        </w:rPr>
        <w:tab/>
      </w:r>
      <w:r w:rsidR="000731E4">
        <w:rPr>
          <w:rFonts w:eastAsia="Times New Roman" w:cs="Times New Roman"/>
        </w:rPr>
        <w:t>En termes de c</w:t>
      </w:r>
      <w:r>
        <w:rPr>
          <w:rFonts w:eastAsia="Times New Roman" w:cs="Times New Roman"/>
        </w:rPr>
        <w:t xml:space="preserve">ontribution </w:t>
      </w:r>
      <w:r w:rsidR="00061B4A">
        <w:rPr>
          <w:rFonts w:eastAsia="Times New Roman" w:cs="Times New Roman"/>
        </w:rPr>
        <w:t>à WAGE</w:t>
      </w:r>
      <w:r w:rsidR="000731E4">
        <w:rPr>
          <w:rFonts w:eastAsia="Times New Roman" w:cs="Times New Roman"/>
        </w:rPr>
        <w:t xml:space="preserve">, </w:t>
      </w:r>
      <w:r w:rsidR="00061B4A">
        <w:rPr>
          <w:rFonts w:eastAsia="Times New Roman" w:cs="Times New Roman"/>
        </w:rPr>
        <w:t>q</w:t>
      </w:r>
      <w:r w:rsidR="00022CE4">
        <w:rPr>
          <w:rFonts w:eastAsia="Times New Roman" w:cs="Times New Roman"/>
        </w:rPr>
        <w:t>uatre axes de recherche du sous-groupe Asie</w:t>
      </w:r>
      <w:r w:rsidR="00061B4A">
        <w:rPr>
          <w:rFonts w:eastAsia="Times New Roman" w:cs="Times New Roman"/>
        </w:rPr>
        <w:t xml:space="preserve"> </w:t>
      </w:r>
      <w:r w:rsidR="00022CE4">
        <w:rPr>
          <w:rFonts w:eastAsia="Times New Roman" w:cs="Times New Roman"/>
        </w:rPr>
        <w:t xml:space="preserve">: </w:t>
      </w:r>
    </w:p>
    <w:p w14:paraId="7DAAC2BE" w14:textId="77777777" w:rsidR="00022CE4" w:rsidRDefault="00022CE4" w:rsidP="00061B4A">
      <w:pPr>
        <w:rPr>
          <w:rFonts w:eastAsia="Times New Roman" w:cs="Times New Roman"/>
        </w:rPr>
      </w:pPr>
      <w:r>
        <w:rPr>
          <w:rFonts w:eastAsia="Times New Roman" w:cs="Times New Roman"/>
        </w:rPr>
        <w:t xml:space="preserve">. La </w:t>
      </w:r>
      <w:r w:rsidRPr="00022CE4">
        <w:rPr>
          <w:rFonts w:eastAsia="Times New Roman" w:cs="Times New Roman"/>
        </w:rPr>
        <w:t xml:space="preserve">contextualisation </w:t>
      </w:r>
      <w:r>
        <w:rPr>
          <w:rFonts w:eastAsia="Times New Roman" w:cs="Times New Roman"/>
        </w:rPr>
        <w:t>m</w:t>
      </w:r>
      <w:r w:rsidRPr="00022CE4">
        <w:rPr>
          <w:rFonts w:eastAsia="Times New Roman" w:cs="Times New Roman"/>
        </w:rPr>
        <w:t xml:space="preserve">acro-historique </w:t>
      </w:r>
      <w:r>
        <w:rPr>
          <w:rFonts w:eastAsia="Times New Roman" w:cs="Times New Roman"/>
        </w:rPr>
        <w:t xml:space="preserve">de l’histoire salariale </w:t>
      </w:r>
      <w:r w:rsidRPr="00022CE4">
        <w:rPr>
          <w:rFonts w:eastAsia="Times New Roman" w:cs="Times New Roman"/>
        </w:rPr>
        <w:t>depuis les années 1950</w:t>
      </w:r>
    </w:p>
    <w:p w14:paraId="3862DC84" w14:textId="411F83C5" w:rsidR="00022CE4" w:rsidRDefault="00022CE4" w:rsidP="00061B4A">
      <w:pPr>
        <w:rPr>
          <w:rFonts w:eastAsia="Times New Roman" w:cs="Times New Roman"/>
        </w:rPr>
      </w:pPr>
      <w:r>
        <w:rPr>
          <w:rFonts w:eastAsia="Times New Roman" w:cs="Times New Roman"/>
        </w:rPr>
        <w:t xml:space="preserve">. </w:t>
      </w:r>
      <w:r w:rsidR="000731E4">
        <w:rPr>
          <w:rFonts w:eastAsia="Times New Roman" w:cs="Times New Roman"/>
        </w:rPr>
        <w:t>L’a</w:t>
      </w:r>
      <w:r>
        <w:rPr>
          <w:rFonts w:eastAsia="Times New Roman" w:cs="Times New Roman"/>
        </w:rPr>
        <w:t xml:space="preserve">nalyse détaillée de </w:t>
      </w:r>
      <w:r w:rsidRPr="00022CE4">
        <w:rPr>
          <w:rFonts w:eastAsia="Times New Roman" w:cs="Times New Roman"/>
        </w:rPr>
        <w:t>l'industrie</w:t>
      </w:r>
      <w:r>
        <w:rPr>
          <w:rFonts w:eastAsia="Times New Roman" w:cs="Times New Roman"/>
        </w:rPr>
        <w:t>, avec un regard prédominant sur le rôle des femmes, des jeunes et de</w:t>
      </w:r>
      <w:r w:rsidRPr="00022CE4">
        <w:rPr>
          <w:rFonts w:eastAsia="Times New Roman" w:cs="Times New Roman"/>
        </w:rPr>
        <w:t>s travailleurs migrants.</w:t>
      </w:r>
    </w:p>
    <w:p w14:paraId="36FA8840" w14:textId="1485494D" w:rsidR="00022CE4" w:rsidRDefault="00022CE4" w:rsidP="00061B4A">
      <w:pPr>
        <w:rPr>
          <w:rFonts w:eastAsia="Times New Roman" w:cs="Times New Roman"/>
        </w:rPr>
      </w:pPr>
      <w:r>
        <w:rPr>
          <w:rFonts w:eastAsia="Times New Roman" w:cs="Times New Roman"/>
        </w:rPr>
        <w:t xml:space="preserve">. </w:t>
      </w:r>
      <w:r w:rsidRPr="00022CE4">
        <w:rPr>
          <w:rFonts w:eastAsia="Times New Roman" w:cs="Times New Roman"/>
        </w:rPr>
        <w:t xml:space="preserve">La </w:t>
      </w:r>
      <w:r w:rsidR="000731E4">
        <w:rPr>
          <w:rFonts w:eastAsia="Times New Roman" w:cs="Times New Roman"/>
        </w:rPr>
        <w:t xml:space="preserve">signification de la </w:t>
      </w:r>
      <w:r w:rsidRPr="00022CE4">
        <w:rPr>
          <w:rFonts w:eastAsia="Times New Roman" w:cs="Times New Roman"/>
        </w:rPr>
        <w:t>haus</w:t>
      </w:r>
      <w:r w:rsidR="000731E4">
        <w:rPr>
          <w:rFonts w:eastAsia="Times New Roman" w:cs="Times New Roman"/>
        </w:rPr>
        <w:t xml:space="preserve">se contemporaine des </w:t>
      </w:r>
      <w:r>
        <w:rPr>
          <w:rFonts w:eastAsia="Times New Roman" w:cs="Times New Roman"/>
        </w:rPr>
        <w:t>salaires en Asie : y</w:t>
      </w:r>
      <w:r w:rsidRPr="00022CE4">
        <w:rPr>
          <w:rFonts w:eastAsia="Times New Roman" w:cs="Times New Roman"/>
        </w:rPr>
        <w:t xml:space="preserve"> a</w:t>
      </w:r>
      <w:r>
        <w:rPr>
          <w:rFonts w:eastAsia="Times New Roman" w:cs="Times New Roman"/>
        </w:rPr>
        <w:t>-</w:t>
      </w:r>
      <w:r w:rsidRPr="00022CE4">
        <w:rPr>
          <w:rFonts w:eastAsia="Times New Roman" w:cs="Times New Roman"/>
        </w:rPr>
        <w:t>t-il une convergence au sein de l'Asie</w:t>
      </w:r>
      <w:r>
        <w:rPr>
          <w:rFonts w:eastAsia="Times New Roman" w:cs="Times New Roman"/>
        </w:rPr>
        <w:t xml:space="preserve"> </w:t>
      </w:r>
      <w:r w:rsidRPr="00022CE4">
        <w:rPr>
          <w:rFonts w:eastAsia="Times New Roman" w:cs="Times New Roman"/>
        </w:rPr>
        <w:t>?</w:t>
      </w:r>
      <w:r>
        <w:rPr>
          <w:rFonts w:eastAsia="Times New Roman" w:cs="Times New Roman"/>
        </w:rPr>
        <w:t xml:space="preserve"> </w:t>
      </w:r>
      <w:r w:rsidRPr="00022CE4">
        <w:rPr>
          <w:rFonts w:eastAsia="Times New Roman" w:cs="Times New Roman"/>
        </w:rPr>
        <w:t xml:space="preserve">L'Asie est en train de rattraper les </w:t>
      </w:r>
      <w:r>
        <w:rPr>
          <w:rFonts w:eastAsia="Times New Roman" w:cs="Times New Roman"/>
        </w:rPr>
        <w:t xml:space="preserve">pays anciennement industrialisés </w:t>
      </w:r>
      <w:r w:rsidRPr="00022CE4">
        <w:rPr>
          <w:rFonts w:eastAsia="Times New Roman" w:cs="Times New Roman"/>
        </w:rPr>
        <w:t>?</w:t>
      </w:r>
      <w:r>
        <w:rPr>
          <w:rFonts w:eastAsia="Times New Roman" w:cs="Times New Roman"/>
        </w:rPr>
        <w:t xml:space="preserve"> </w:t>
      </w:r>
      <w:r w:rsidRPr="00022CE4">
        <w:rPr>
          <w:rFonts w:eastAsia="Times New Roman" w:cs="Times New Roman"/>
        </w:rPr>
        <w:t>Quelle est l'influence des réseaux mondiaux de production sur les salaires asiatiques</w:t>
      </w:r>
      <w:r>
        <w:rPr>
          <w:rFonts w:eastAsia="Times New Roman" w:cs="Times New Roman"/>
        </w:rPr>
        <w:t xml:space="preserve"> </w:t>
      </w:r>
      <w:r w:rsidRPr="00022CE4">
        <w:rPr>
          <w:rFonts w:eastAsia="Times New Roman" w:cs="Times New Roman"/>
        </w:rPr>
        <w:t>?</w:t>
      </w:r>
    </w:p>
    <w:p w14:paraId="00D667BA" w14:textId="03B3D898" w:rsidR="00022CE4" w:rsidRDefault="00022CE4" w:rsidP="00061B4A">
      <w:pPr>
        <w:rPr>
          <w:rFonts w:eastAsia="Times New Roman" w:cs="Times New Roman"/>
        </w:rPr>
      </w:pPr>
      <w:r>
        <w:rPr>
          <w:rFonts w:eastAsia="Times New Roman" w:cs="Times New Roman"/>
        </w:rPr>
        <w:t xml:space="preserve">. </w:t>
      </w:r>
      <w:r w:rsidRPr="00022CE4">
        <w:rPr>
          <w:rFonts w:eastAsia="Times New Roman" w:cs="Times New Roman"/>
        </w:rPr>
        <w:t>Des études de cas au</w:t>
      </w:r>
      <w:r w:rsidR="000731E4">
        <w:rPr>
          <w:rFonts w:eastAsia="Times New Roman" w:cs="Times New Roman"/>
        </w:rPr>
        <w:t xml:space="preserve"> niveau de l’</w:t>
      </w:r>
      <w:r w:rsidRPr="00022CE4">
        <w:rPr>
          <w:rFonts w:eastAsia="Times New Roman" w:cs="Times New Roman"/>
        </w:rPr>
        <w:t>entrepris</w:t>
      </w:r>
      <w:r>
        <w:rPr>
          <w:rFonts w:eastAsia="Times New Roman" w:cs="Times New Roman"/>
        </w:rPr>
        <w:t>e, comme par exemple, le programme SCORE de l’</w:t>
      </w:r>
      <w:r w:rsidRPr="00022CE4">
        <w:rPr>
          <w:rFonts w:eastAsia="Times New Roman" w:cs="Times New Roman"/>
        </w:rPr>
        <w:t>OIT à Beijing</w:t>
      </w:r>
      <w:r>
        <w:rPr>
          <w:rFonts w:eastAsia="Times New Roman" w:cs="Times New Roman"/>
        </w:rPr>
        <w:t xml:space="preserve">. </w:t>
      </w:r>
    </w:p>
    <w:p w14:paraId="2D4E4882" w14:textId="3862C156" w:rsidR="00D1258A" w:rsidRPr="00974315" w:rsidRDefault="00D74F20" w:rsidP="0086598C">
      <w:r>
        <w:rPr>
          <w:rFonts w:eastAsia="Times New Roman" w:cs="Times New Roman"/>
        </w:rPr>
        <w:br/>
        <w:t>9</w:t>
      </w:r>
      <w:r w:rsidR="0086598C">
        <w:rPr>
          <w:rFonts w:eastAsia="Times New Roman" w:cs="Times New Roman"/>
        </w:rPr>
        <w:t xml:space="preserve">. </w:t>
      </w:r>
      <w:r w:rsidR="00745180" w:rsidRPr="00745180">
        <w:rPr>
          <w:rFonts w:eastAsia="Times New Roman" w:cs="Times New Roman"/>
          <w:color w:val="008000"/>
        </w:rPr>
        <w:t>Rémi D</w:t>
      </w:r>
      <w:r w:rsidR="00D1258A" w:rsidRPr="00745180">
        <w:rPr>
          <w:rFonts w:eastAsia="Times New Roman" w:cs="Times New Roman"/>
          <w:color w:val="008000"/>
        </w:rPr>
        <w:t>evemy</w:t>
      </w:r>
      <w:r w:rsidR="00745180" w:rsidRPr="00745180">
        <w:rPr>
          <w:rFonts w:eastAsia="Times New Roman" w:cs="Times New Roman"/>
          <w:color w:val="008000"/>
        </w:rPr>
        <w:t xml:space="preserve"> </w:t>
      </w:r>
      <w:r w:rsidR="00D1258A" w:rsidRPr="00745180">
        <w:rPr>
          <w:rFonts w:eastAsia="Times New Roman" w:cs="Times New Roman"/>
          <w:color w:val="008000"/>
        </w:rPr>
        <w:t>(Arras)</w:t>
      </w:r>
      <w:r w:rsidR="0086598C">
        <w:rPr>
          <w:rFonts w:eastAsia="Times New Roman" w:cs="Times New Roman"/>
          <w:color w:val="008000"/>
        </w:rPr>
        <w:t xml:space="preserve"> </w:t>
      </w:r>
      <w:r w:rsidR="00D1258A" w:rsidRPr="00974315">
        <w:rPr>
          <w:rFonts w:eastAsia="Times New Roman" w:cs="Times New Roman"/>
        </w:rPr>
        <w:t xml:space="preserve">: </w:t>
      </w:r>
      <w:r w:rsidR="00D1258A" w:rsidRPr="00745180">
        <w:rPr>
          <w:rFonts w:eastAsia="Times New Roman" w:cs="Times New Roman"/>
          <w:i/>
          <w:color w:val="008000"/>
        </w:rPr>
        <w:t>Exemple méthodologique d’une série longue des salaires sur la période 1960-80 (chimie France/Belgique/Allemagne)</w:t>
      </w:r>
      <w:r w:rsidR="0086598C">
        <w:rPr>
          <w:rFonts w:eastAsia="Times New Roman" w:cs="Times New Roman"/>
          <w:i/>
          <w:color w:val="008000"/>
        </w:rPr>
        <w:t xml:space="preserve"> (involontairement absent, a envoyé son papier)</w:t>
      </w:r>
    </w:p>
    <w:p w14:paraId="2E167C31" w14:textId="0F9FE995" w:rsidR="00387550" w:rsidRPr="00E67E38" w:rsidRDefault="009A152D" w:rsidP="00277EDA">
      <w:pPr>
        <w:widowControl w:val="0"/>
        <w:autoSpaceDE w:val="0"/>
        <w:autoSpaceDN w:val="0"/>
        <w:adjustRightInd w:val="0"/>
        <w:ind w:firstLine="284"/>
        <w:rPr>
          <w:rFonts w:cs="Times"/>
        </w:rPr>
      </w:pPr>
      <w:r>
        <w:rPr>
          <w:rFonts w:cs="Times"/>
        </w:rPr>
        <w:t xml:space="preserve">N’ayant pu malencontreusement se rendre à Genève, R. Devemy a rédigé un papier très détaillé dont voici les principales dimensions. </w:t>
      </w:r>
      <w:r w:rsidR="002A5072">
        <w:rPr>
          <w:rFonts w:cs="Times"/>
        </w:rPr>
        <w:t>L’auteur</w:t>
      </w:r>
      <w:r w:rsidR="00DC4620">
        <w:rPr>
          <w:rFonts w:cs="Times"/>
        </w:rPr>
        <w:t xml:space="preserve"> a rédigé un mémoire de m</w:t>
      </w:r>
      <w:r w:rsidR="00DC4620" w:rsidRPr="00E67E38">
        <w:rPr>
          <w:rFonts w:cs="Times"/>
        </w:rPr>
        <w:t xml:space="preserve">aster </w:t>
      </w:r>
      <w:r w:rsidR="00DC4620">
        <w:rPr>
          <w:rFonts w:cs="Times"/>
        </w:rPr>
        <w:t xml:space="preserve">en 2009-2011 </w:t>
      </w:r>
      <w:r w:rsidR="00DC4620" w:rsidRPr="00E67E38">
        <w:rPr>
          <w:rFonts w:cs="Times"/>
        </w:rPr>
        <w:t xml:space="preserve">sur les syndicats de l’industrie chimique en Europe </w:t>
      </w:r>
      <w:r w:rsidR="00DC4620">
        <w:rPr>
          <w:rFonts w:cs="Times"/>
        </w:rPr>
        <w:t>du Nord-Ouest (</w:t>
      </w:r>
      <w:r w:rsidR="00DC4620" w:rsidRPr="00E67E38">
        <w:rPr>
          <w:rFonts w:cs="Times"/>
        </w:rPr>
        <w:t xml:space="preserve">Nord-Pas-de-Calais, Wallonie et Rhénanie du Nord-Westphalie) </w:t>
      </w:r>
      <w:r w:rsidR="00DC4620">
        <w:rPr>
          <w:rFonts w:cs="Times"/>
        </w:rPr>
        <w:t>et leur stratégie salariale</w:t>
      </w:r>
      <w:r w:rsidR="00277EDA">
        <w:rPr>
          <w:rFonts w:cs="Times"/>
        </w:rPr>
        <w:t xml:space="preserve"> de </w:t>
      </w:r>
      <w:r w:rsidR="00D717FF">
        <w:rPr>
          <w:rFonts w:cs="Times"/>
        </w:rPr>
        <w:t xml:space="preserve">la période </w:t>
      </w:r>
      <w:r w:rsidR="00277EDA">
        <w:rPr>
          <w:rFonts w:cs="Times"/>
        </w:rPr>
        <w:t xml:space="preserve">1960-1980 avec </w:t>
      </w:r>
      <w:r w:rsidR="00DC4620" w:rsidRPr="00E67E38">
        <w:rPr>
          <w:rFonts w:cs="Times"/>
        </w:rPr>
        <w:t xml:space="preserve">reconstitution d’une série longue des </w:t>
      </w:r>
      <w:r w:rsidR="00277EDA">
        <w:rPr>
          <w:rFonts w:cs="Times"/>
        </w:rPr>
        <w:t>salaires</w:t>
      </w:r>
      <w:r w:rsidR="00DC4620">
        <w:rPr>
          <w:rFonts w:cs="Times"/>
        </w:rPr>
        <w:t>.</w:t>
      </w:r>
      <w:r w:rsidR="00DC4620" w:rsidRPr="00E67E38">
        <w:rPr>
          <w:rFonts w:cs="Times"/>
        </w:rPr>
        <w:t xml:space="preserve"> </w:t>
      </w:r>
      <w:r w:rsidR="00277EDA">
        <w:t>Il</w:t>
      </w:r>
      <w:r w:rsidR="00CB4D7A" w:rsidRPr="00E67E38">
        <w:rPr>
          <w:rFonts w:cs="Times"/>
        </w:rPr>
        <w:t xml:space="preserve"> </w:t>
      </w:r>
      <w:r w:rsidR="00554D80">
        <w:rPr>
          <w:rFonts w:cs="Times"/>
        </w:rPr>
        <w:t xml:space="preserve">a </w:t>
      </w:r>
      <w:r w:rsidR="00B6561C" w:rsidRPr="00E67E38">
        <w:rPr>
          <w:rFonts w:cs="Times"/>
        </w:rPr>
        <w:t>d’abord rassemblé des données provenant des annuaires statistiques internationaux et nationaux</w:t>
      </w:r>
      <w:r w:rsidR="00277EDA">
        <w:rPr>
          <w:rFonts w:cs="Times"/>
        </w:rPr>
        <w:t>. Un</w:t>
      </w:r>
      <w:r w:rsidR="00B6561C" w:rsidRPr="00E67E38">
        <w:rPr>
          <w:rFonts w:cs="Times"/>
        </w:rPr>
        <w:t xml:space="preserve"> </w:t>
      </w:r>
      <w:r w:rsidR="00554D80">
        <w:rPr>
          <w:rFonts w:cs="Times"/>
        </w:rPr>
        <w:t>« </w:t>
      </w:r>
      <w:r w:rsidR="00D74F20">
        <w:rPr>
          <w:rFonts w:cs="Times"/>
        </w:rPr>
        <w:t>g</w:t>
      </w:r>
      <w:r w:rsidR="00B6561C" w:rsidRPr="00E67E38">
        <w:rPr>
          <w:rFonts w:cs="Times"/>
        </w:rPr>
        <w:t>ain hor</w:t>
      </w:r>
      <w:r w:rsidR="00277EDA">
        <w:rPr>
          <w:rFonts w:cs="Times"/>
        </w:rPr>
        <w:t xml:space="preserve">aire moyen brut des ouvriers » a été </w:t>
      </w:r>
      <w:r w:rsidR="00554D80">
        <w:rPr>
          <w:rFonts w:cs="Times"/>
        </w:rPr>
        <w:t xml:space="preserve">élaboré par </w:t>
      </w:r>
      <w:r w:rsidR="00277EDA">
        <w:rPr>
          <w:rFonts w:cs="Times"/>
        </w:rPr>
        <w:t>Office Statistique des Communautés Européennes</w:t>
      </w:r>
      <w:r w:rsidR="00554D80">
        <w:rPr>
          <w:rFonts w:cs="Times"/>
        </w:rPr>
        <w:t xml:space="preserve"> à partir de </w:t>
      </w:r>
      <w:r w:rsidR="00387550" w:rsidRPr="00E67E38">
        <w:rPr>
          <w:rFonts w:cs="Times"/>
        </w:rPr>
        <w:t>la population ouvri</w:t>
      </w:r>
      <w:r w:rsidR="00277EDA">
        <w:rPr>
          <w:rFonts w:cs="Times"/>
        </w:rPr>
        <w:t>ère</w:t>
      </w:r>
      <w:r w:rsidR="00D74F20">
        <w:rPr>
          <w:rFonts w:cs="Times"/>
        </w:rPr>
        <w:t xml:space="preserve"> (</w:t>
      </w:r>
      <w:r w:rsidR="00387550" w:rsidRPr="00E67E38">
        <w:rPr>
          <w:rFonts w:cs="Times"/>
        </w:rPr>
        <w:t>68 % des salariés dans l’industrie chimique belge et ouest-allemande en 1960</w:t>
      </w:r>
      <w:r w:rsidR="00D74F20">
        <w:rPr>
          <w:rFonts w:cs="Times"/>
        </w:rPr>
        <w:t>)</w:t>
      </w:r>
      <w:r w:rsidR="00387550" w:rsidRPr="00E67E38">
        <w:rPr>
          <w:rFonts w:cs="Times"/>
        </w:rPr>
        <w:t xml:space="preserve">. </w:t>
      </w:r>
      <w:r w:rsidR="00277EDA">
        <w:rPr>
          <w:rFonts w:cs="Times"/>
        </w:rPr>
        <w:t xml:space="preserve">Rassemblant les chiffres des instituts nationaux, </w:t>
      </w:r>
      <w:r w:rsidR="00D74F20">
        <w:rPr>
          <w:rFonts w:cs="Times"/>
        </w:rPr>
        <w:t>l’OSCE les incita</w:t>
      </w:r>
      <w:r w:rsidR="00387550" w:rsidRPr="00E67E38">
        <w:rPr>
          <w:rFonts w:cs="Times"/>
        </w:rPr>
        <w:t xml:space="preserve"> à partir de 1958</w:t>
      </w:r>
      <w:r w:rsidR="00277EDA">
        <w:rPr>
          <w:rFonts w:cs="Times"/>
        </w:rPr>
        <w:t xml:space="preserve"> à </w:t>
      </w:r>
      <w:r w:rsidR="00387550" w:rsidRPr="00E67E38">
        <w:rPr>
          <w:rFonts w:cs="Times"/>
        </w:rPr>
        <w:t xml:space="preserve">une certaine harmonisation </w:t>
      </w:r>
      <w:r w:rsidR="00277EDA">
        <w:rPr>
          <w:rFonts w:cs="Times"/>
        </w:rPr>
        <w:t>des</w:t>
      </w:r>
      <w:r w:rsidR="00387550" w:rsidRPr="00E67E38">
        <w:rPr>
          <w:rFonts w:cs="Times"/>
        </w:rPr>
        <w:t xml:space="preserve"> méthodes de collecte et d’exploitation</w:t>
      </w:r>
      <w:r w:rsidR="00D74F20">
        <w:rPr>
          <w:rFonts w:cs="Times"/>
        </w:rPr>
        <w:t>, mais celle-ci</w:t>
      </w:r>
      <w:r w:rsidR="00387550" w:rsidRPr="00E67E38">
        <w:rPr>
          <w:rFonts w:cs="Times"/>
        </w:rPr>
        <w:t xml:space="preserve"> </w:t>
      </w:r>
      <w:r w:rsidR="00277EDA">
        <w:rPr>
          <w:rFonts w:cs="Times"/>
        </w:rPr>
        <w:t xml:space="preserve">ne </w:t>
      </w:r>
      <w:r w:rsidR="00387550" w:rsidRPr="00E67E38">
        <w:rPr>
          <w:rFonts w:cs="Times"/>
        </w:rPr>
        <w:t xml:space="preserve">devint efficiente </w:t>
      </w:r>
      <w:r w:rsidR="00277EDA">
        <w:rPr>
          <w:rFonts w:cs="Times"/>
        </w:rPr>
        <w:t>qu’</w:t>
      </w:r>
      <w:r w:rsidR="00387550" w:rsidRPr="00E67E38">
        <w:rPr>
          <w:rFonts w:cs="Times"/>
        </w:rPr>
        <w:t>à la fin des années 1970</w:t>
      </w:r>
      <w:r w:rsidR="00277EDA">
        <w:rPr>
          <w:rFonts w:cs="Times"/>
        </w:rPr>
        <w:t xml:space="preserve"> alors que </w:t>
      </w:r>
      <w:r w:rsidR="00FA6B67">
        <w:rPr>
          <w:rFonts w:cs="Times"/>
        </w:rPr>
        <w:t>l</w:t>
      </w:r>
      <w:r w:rsidR="00387550" w:rsidRPr="00E67E38">
        <w:rPr>
          <w:rFonts w:cs="Times"/>
        </w:rPr>
        <w:t>es ouvriers représenta</w:t>
      </w:r>
      <w:r w:rsidR="00277EDA">
        <w:rPr>
          <w:rFonts w:cs="Times"/>
        </w:rPr>
        <w:t>ient moins de 50 % des salariés</w:t>
      </w:r>
      <w:r w:rsidR="00FA6B67">
        <w:rPr>
          <w:rFonts w:cs="Times"/>
        </w:rPr>
        <w:t>.</w:t>
      </w:r>
    </w:p>
    <w:p w14:paraId="77DDB1F2" w14:textId="77777777" w:rsidR="00D74F20" w:rsidRDefault="00277EDA" w:rsidP="00277EDA">
      <w:pPr>
        <w:widowControl w:val="0"/>
        <w:autoSpaceDE w:val="0"/>
        <w:autoSpaceDN w:val="0"/>
        <w:adjustRightInd w:val="0"/>
        <w:ind w:firstLine="284"/>
        <w:rPr>
          <w:rFonts w:cs="Times"/>
        </w:rPr>
      </w:pPr>
      <w:r>
        <w:rPr>
          <w:rFonts w:cs="Times"/>
        </w:rPr>
        <w:t xml:space="preserve">L’ensemble a posé plusieurs problèmes méthodologiques non négligeables. </w:t>
      </w:r>
    </w:p>
    <w:p w14:paraId="133C483F" w14:textId="232DE4AF" w:rsidR="00277EDA" w:rsidRDefault="00D74F20" w:rsidP="00D74F20">
      <w:pPr>
        <w:widowControl w:val="0"/>
        <w:autoSpaceDE w:val="0"/>
        <w:autoSpaceDN w:val="0"/>
        <w:adjustRightInd w:val="0"/>
        <w:rPr>
          <w:rFonts w:cs="Times"/>
        </w:rPr>
      </w:pPr>
      <w:r>
        <w:rPr>
          <w:rFonts w:cs="Times"/>
        </w:rPr>
        <w:t xml:space="preserve">. </w:t>
      </w:r>
      <w:r w:rsidR="00BC0C05">
        <w:rPr>
          <w:rFonts w:cs="Times"/>
        </w:rPr>
        <w:t>La</w:t>
      </w:r>
      <w:r w:rsidR="00277EDA">
        <w:rPr>
          <w:rFonts w:cs="Times"/>
        </w:rPr>
        <w:t xml:space="preserve"> définition de « l’</w:t>
      </w:r>
      <w:r w:rsidR="00E0564B" w:rsidRPr="00E67E38">
        <w:rPr>
          <w:rFonts w:cs="Times"/>
        </w:rPr>
        <w:t xml:space="preserve">ouvrier-type » </w:t>
      </w:r>
      <w:r w:rsidR="00277EDA">
        <w:rPr>
          <w:rFonts w:cs="Times"/>
        </w:rPr>
        <w:t>n’a pas été la même entre 1950 et 1980</w:t>
      </w:r>
      <w:r w:rsidR="00E0564B" w:rsidRPr="00E67E38">
        <w:rPr>
          <w:rFonts w:cs="Times"/>
        </w:rPr>
        <w:t xml:space="preserve">. Le modèle déterminé par l’OSCE, inspiré par le </w:t>
      </w:r>
      <w:r w:rsidR="00E0564B" w:rsidRPr="00E67E38">
        <w:rPr>
          <w:rFonts w:cs="Times"/>
          <w:i/>
          <w:iCs/>
        </w:rPr>
        <w:t>Statistisches Bundesamt</w:t>
      </w:r>
      <w:r w:rsidR="00E0564B" w:rsidRPr="00E67E38">
        <w:rPr>
          <w:rFonts w:cs="Times"/>
        </w:rPr>
        <w:t xml:space="preserve">, intégrait par exemple le </w:t>
      </w:r>
      <w:r w:rsidR="00E0564B" w:rsidRPr="00E67E38">
        <w:rPr>
          <w:rFonts w:cs="Times"/>
          <w:i/>
          <w:iCs/>
        </w:rPr>
        <w:t xml:space="preserve">Meister </w:t>
      </w:r>
      <w:r w:rsidR="00E0564B" w:rsidRPr="00E67E38">
        <w:rPr>
          <w:rFonts w:cs="Times"/>
        </w:rPr>
        <w:t xml:space="preserve">parmi le personnel ouvrier, alors que l’INSEE incluait ce personnel à responsabilité au sein des employés. </w:t>
      </w:r>
    </w:p>
    <w:p w14:paraId="539E1E26" w14:textId="6CAA969A" w:rsidR="00BB3569" w:rsidRPr="00E67E38" w:rsidRDefault="00D74F20" w:rsidP="00D74F20">
      <w:pPr>
        <w:widowControl w:val="0"/>
        <w:autoSpaceDE w:val="0"/>
        <w:autoSpaceDN w:val="0"/>
        <w:adjustRightInd w:val="0"/>
        <w:rPr>
          <w:rFonts w:cs="Times"/>
        </w:rPr>
      </w:pPr>
      <w:r>
        <w:rPr>
          <w:rFonts w:cs="Times"/>
        </w:rPr>
        <w:t xml:space="preserve">. Un </w:t>
      </w:r>
      <w:r w:rsidR="00277EDA">
        <w:rPr>
          <w:rFonts w:cs="Times"/>
        </w:rPr>
        <w:t xml:space="preserve">certain nombre de données absentes ont été complétées </w:t>
      </w:r>
      <w:r>
        <w:rPr>
          <w:rFonts w:cs="Times"/>
        </w:rPr>
        <w:t xml:space="preserve">soit </w:t>
      </w:r>
      <w:r w:rsidR="00277EDA">
        <w:rPr>
          <w:rFonts w:cs="Times"/>
        </w:rPr>
        <w:t xml:space="preserve">par une moyenne </w:t>
      </w:r>
      <w:r w:rsidR="00E0564B" w:rsidRPr="00E67E38">
        <w:rPr>
          <w:rFonts w:cs="Times"/>
        </w:rPr>
        <w:t xml:space="preserve">équidistante entre deux statistiques disponibles </w:t>
      </w:r>
      <w:r>
        <w:rPr>
          <w:rFonts w:cs="Times"/>
        </w:rPr>
        <w:t xml:space="preserve">soit </w:t>
      </w:r>
      <w:r w:rsidR="00277EDA">
        <w:rPr>
          <w:rFonts w:cs="Times"/>
        </w:rPr>
        <w:t>par référence à une</w:t>
      </w:r>
      <w:r w:rsidR="00E0564B" w:rsidRPr="00E67E38">
        <w:rPr>
          <w:rFonts w:cs="Times"/>
        </w:rPr>
        <w:t xml:space="preserve"> moyenne ou une tendance observée à un autre niveau. </w:t>
      </w:r>
      <w:r>
        <w:rPr>
          <w:rFonts w:cs="Times"/>
        </w:rPr>
        <w:t>Le</w:t>
      </w:r>
      <w:r w:rsidR="00277EDA">
        <w:rPr>
          <w:rFonts w:cs="Times"/>
        </w:rPr>
        <w:t xml:space="preserve"> parallélisme entre les données allemandes générales et celles de la Rhénanie-Westphalie a encouragé à </w:t>
      </w:r>
      <w:r>
        <w:rPr>
          <w:rFonts w:cs="Times"/>
        </w:rPr>
        <w:t>opérer le même parallélisme entre</w:t>
      </w:r>
      <w:r w:rsidR="00E0564B" w:rsidRPr="00E67E38">
        <w:rPr>
          <w:rFonts w:cs="Times"/>
        </w:rPr>
        <w:t xml:space="preserve"> la Belgique entière entre 1960 et 1971 </w:t>
      </w:r>
      <w:r>
        <w:rPr>
          <w:rFonts w:cs="Times"/>
        </w:rPr>
        <w:t xml:space="preserve">et </w:t>
      </w:r>
      <w:r w:rsidR="00277EDA">
        <w:rPr>
          <w:rFonts w:cs="Times"/>
        </w:rPr>
        <w:t>la seule Wallonie</w:t>
      </w:r>
      <w:r w:rsidR="00E0564B" w:rsidRPr="00E67E38">
        <w:rPr>
          <w:rFonts w:cs="Times"/>
        </w:rPr>
        <w:t xml:space="preserve">. </w:t>
      </w:r>
      <w:r w:rsidR="00BB3569" w:rsidRPr="00E67E38">
        <w:rPr>
          <w:rFonts w:cs="Times"/>
        </w:rPr>
        <w:t xml:space="preserve">Le tableau statistique obtenu est donc une combinaison entre données brutes (collectées directement dans les sources) et estimations (25 % des données du tableau) de différents ordres : tendance probable (compte tenu de facteurs divers), donnée équidistante (pour lisser l’évolution) et reproduction de la tendance observée à l’échelle nationale). </w:t>
      </w:r>
    </w:p>
    <w:p w14:paraId="19ADFA8C" w14:textId="67607AEB" w:rsidR="00001D7F" w:rsidRDefault="00D74F20" w:rsidP="00D74F20">
      <w:pPr>
        <w:widowControl w:val="0"/>
        <w:autoSpaceDE w:val="0"/>
        <w:autoSpaceDN w:val="0"/>
        <w:adjustRightInd w:val="0"/>
        <w:rPr>
          <w:rFonts w:cs="Times"/>
        </w:rPr>
      </w:pPr>
      <w:r>
        <w:rPr>
          <w:rFonts w:cs="Times"/>
        </w:rPr>
        <w:t xml:space="preserve">. Le choix du dollar. </w:t>
      </w:r>
      <w:r w:rsidR="00277EDA">
        <w:rPr>
          <w:rFonts w:cs="Times"/>
        </w:rPr>
        <w:t>A</w:t>
      </w:r>
      <w:r w:rsidR="008D2C05" w:rsidRPr="00E67E38">
        <w:rPr>
          <w:rFonts w:cs="Times"/>
        </w:rPr>
        <w:t>vant la mise en place de l’ECU (1979) et le lancement de l’euro</w:t>
      </w:r>
      <w:r w:rsidR="00277EDA">
        <w:rPr>
          <w:rFonts w:cs="Times"/>
        </w:rPr>
        <w:t xml:space="preserve"> (1999)</w:t>
      </w:r>
      <w:r w:rsidR="008D2C05" w:rsidRPr="00E67E38">
        <w:rPr>
          <w:rFonts w:cs="Times"/>
        </w:rPr>
        <w:t xml:space="preserve">, les salaires étaient fournis en monnaies nationales. Eurostat </w:t>
      </w:r>
      <w:r w:rsidR="00277EDA">
        <w:rPr>
          <w:rFonts w:cs="Times"/>
          <w:color w:val="000000" w:themeColor="text1"/>
        </w:rPr>
        <w:t>a ensuite reconstruit</w:t>
      </w:r>
      <w:r w:rsidR="008D2C05" w:rsidRPr="00DA1832">
        <w:rPr>
          <w:rFonts w:cs="Times"/>
          <w:color w:val="000000" w:themeColor="text1"/>
        </w:rPr>
        <w:t xml:space="preserve"> des séries rétrospectives sur la base de l’ECU mais </w:t>
      </w:r>
      <w:r w:rsidR="00277EDA">
        <w:rPr>
          <w:rFonts w:cs="Times"/>
          <w:color w:val="000000" w:themeColor="text1"/>
        </w:rPr>
        <w:t>sans donner les taux de conversion</w:t>
      </w:r>
      <w:r w:rsidR="008D2C05" w:rsidRPr="00E67E38">
        <w:rPr>
          <w:rFonts w:cs="Times"/>
        </w:rPr>
        <w:t>. Par conséquent, le dollar sembl</w:t>
      </w:r>
      <w:r w:rsidR="00277EDA">
        <w:rPr>
          <w:rFonts w:cs="Times"/>
        </w:rPr>
        <w:t>ait</w:t>
      </w:r>
      <w:r w:rsidR="008D2C05" w:rsidRPr="00E67E38">
        <w:rPr>
          <w:rFonts w:cs="Times"/>
        </w:rPr>
        <w:t xml:space="preserve"> être un bon compromis malgré </w:t>
      </w:r>
      <w:r w:rsidR="00277EDA">
        <w:rPr>
          <w:rFonts w:cs="Times"/>
        </w:rPr>
        <w:t xml:space="preserve">son instabilité dans les années 1970. </w:t>
      </w:r>
    </w:p>
    <w:p w14:paraId="22007BB5" w14:textId="1B03D8CF" w:rsidR="008D2C05" w:rsidRPr="00E67E38" w:rsidRDefault="00D74F20" w:rsidP="00D74F20">
      <w:pPr>
        <w:widowControl w:val="0"/>
        <w:autoSpaceDE w:val="0"/>
        <w:autoSpaceDN w:val="0"/>
        <w:adjustRightInd w:val="0"/>
        <w:rPr>
          <w:rFonts w:cs="Times"/>
        </w:rPr>
      </w:pPr>
      <w:r>
        <w:rPr>
          <w:rFonts w:cs="Times"/>
        </w:rPr>
        <w:t xml:space="preserve">. Le pouvoir d’achat. </w:t>
      </w:r>
      <w:r w:rsidR="008D2C05" w:rsidRPr="00E67E38">
        <w:rPr>
          <w:rFonts w:cs="Times"/>
        </w:rPr>
        <w:t xml:space="preserve">Le niveau des salaires doit </w:t>
      </w:r>
      <w:r w:rsidR="00001D7F">
        <w:rPr>
          <w:rFonts w:cs="Times"/>
        </w:rPr>
        <w:t xml:space="preserve">également </w:t>
      </w:r>
      <w:r w:rsidR="008D2C05" w:rsidRPr="00E67E38">
        <w:rPr>
          <w:rFonts w:cs="Times"/>
        </w:rPr>
        <w:t xml:space="preserve">s’apprécier en fonction du pouvoir d’achat qu’il procure. Le prix des biens ou des loyers </w:t>
      </w:r>
      <w:r>
        <w:rPr>
          <w:rFonts w:cs="Times"/>
        </w:rPr>
        <w:t>dans les grandes villes est plus élevé que dans les petites</w:t>
      </w:r>
      <w:r w:rsidR="008D2C05" w:rsidRPr="00E67E38">
        <w:rPr>
          <w:rFonts w:cs="Times"/>
        </w:rPr>
        <w:t>. De nouveaux outils comme la PP</w:t>
      </w:r>
      <w:r w:rsidR="00001D7F">
        <w:rPr>
          <w:rFonts w:cs="Times"/>
        </w:rPr>
        <w:t>P</w:t>
      </w:r>
      <w:r w:rsidR="008D2C05" w:rsidRPr="00E67E38">
        <w:rPr>
          <w:rFonts w:cs="Times"/>
        </w:rPr>
        <w:t xml:space="preserve"> ou le </w:t>
      </w:r>
      <w:r w:rsidR="00001D7F" w:rsidRPr="00001D7F">
        <w:rPr>
          <w:rFonts w:cs="Times"/>
          <w:i/>
        </w:rPr>
        <w:t>d</w:t>
      </w:r>
      <w:r w:rsidR="008D2C05" w:rsidRPr="00001D7F">
        <w:rPr>
          <w:rFonts w:cs="Times"/>
          <w:i/>
        </w:rPr>
        <w:t>ollar Geary-Khamis</w:t>
      </w:r>
      <w:r w:rsidR="008D2C05" w:rsidRPr="00E67E38">
        <w:rPr>
          <w:rFonts w:cs="Times"/>
        </w:rPr>
        <w:t xml:space="preserve"> pourraient donner une plus-value qualitative à nos travaux. </w:t>
      </w:r>
      <w:r>
        <w:rPr>
          <w:rFonts w:cs="Times"/>
        </w:rPr>
        <w:br/>
        <w:t>. La durée du travail : g</w:t>
      </w:r>
      <w:r w:rsidR="008D2C05" w:rsidRPr="00E67E38">
        <w:rPr>
          <w:rFonts w:cs="Times"/>
        </w:rPr>
        <w:t xml:space="preserve">agner 8 dollars de l’heure n’a pas la même valeur pour un Français travaillant 35 heures par semaine que pour son voisin belge astreint à 38 heures. </w:t>
      </w:r>
      <w:r>
        <w:rPr>
          <w:rFonts w:cs="Times"/>
        </w:rPr>
        <w:t xml:space="preserve"> </w:t>
      </w:r>
    </w:p>
    <w:p w14:paraId="70366D1D" w14:textId="38116837" w:rsidR="008D2C05" w:rsidRPr="00E67E38" w:rsidRDefault="00D74F20" w:rsidP="00D74F20">
      <w:pPr>
        <w:widowControl w:val="0"/>
        <w:autoSpaceDE w:val="0"/>
        <w:autoSpaceDN w:val="0"/>
        <w:adjustRightInd w:val="0"/>
        <w:rPr>
          <w:rFonts w:cs="Times"/>
        </w:rPr>
      </w:pPr>
      <w:r>
        <w:rPr>
          <w:rFonts w:cs="Times"/>
        </w:rPr>
        <w:t xml:space="preserve">. La nomenclature d’activités. </w:t>
      </w:r>
      <w:r w:rsidR="008D2C05" w:rsidRPr="00E67E38">
        <w:rPr>
          <w:rFonts w:cs="Times"/>
        </w:rPr>
        <w:t xml:space="preserve">Mise au point </w:t>
      </w:r>
      <w:r>
        <w:rPr>
          <w:rFonts w:cs="Times"/>
        </w:rPr>
        <w:t>en 1961-</w:t>
      </w:r>
      <w:r w:rsidR="008D2C05" w:rsidRPr="00E67E38">
        <w:rPr>
          <w:rFonts w:cs="Times"/>
        </w:rPr>
        <w:t xml:space="preserve">63, la Nomenclature des industries </w:t>
      </w:r>
      <w:r>
        <w:rPr>
          <w:rFonts w:cs="Times"/>
        </w:rPr>
        <w:t>des</w:t>
      </w:r>
      <w:r w:rsidR="008D2C05" w:rsidRPr="00E67E38">
        <w:rPr>
          <w:rFonts w:cs="Times"/>
        </w:rPr>
        <w:t xml:space="preserve"> communautés européennes (NICE) divisait la chimie en trois groupes – caoutchouc, plastiques et fibres de synthèse ; in</w:t>
      </w:r>
      <w:r w:rsidR="00BC0C05">
        <w:rPr>
          <w:rFonts w:cs="Times"/>
        </w:rPr>
        <w:t>dustrie chimique ; pétrochimie</w:t>
      </w:r>
      <w:r>
        <w:rPr>
          <w:rFonts w:cs="Times"/>
        </w:rPr>
        <w:t xml:space="preserve">, alors qu’en 1961, la France disposait de 6 à 8 classes et l’Allemagne de deux. La question n’est pas secondaire : </w:t>
      </w:r>
      <w:r w:rsidR="008D2C05" w:rsidRPr="00E67E38">
        <w:rPr>
          <w:rFonts w:cs="Times"/>
        </w:rPr>
        <w:t xml:space="preserve">la pétrochimie ou la pharmacie rétribuent mieux </w:t>
      </w:r>
      <w:r>
        <w:rPr>
          <w:rFonts w:cs="Times"/>
        </w:rPr>
        <w:t>que le caoutchouc</w:t>
      </w:r>
      <w:r w:rsidR="008D2C05" w:rsidRPr="00E67E38">
        <w:rPr>
          <w:rFonts w:cs="Times"/>
        </w:rPr>
        <w:t xml:space="preserve">. </w:t>
      </w:r>
    </w:p>
    <w:p w14:paraId="1393273D" w14:textId="170B6B3B" w:rsidR="000E1DD9" w:rsidRPr="00BC0C05" w:rsidRDefault="000E1DD9" w:rsidP="00BC0C05">
      <w:pPr>
        <w:widowControl w:val="0"/>
        <w:autoSpaceDE w:val="0"/>
        <w:autoSpaceDN w:val="0"/>
        <w:adjustRightInd w:val="0"/>
        <w:ind w:firstLine="284"/>
        <w:rPr>
          <w:rFonts w:cs="Times"/>
          <w:color w:val="000000" w:themeColor="text1"/>
        </w:rPr>
      </w:pPr>
      <w:r w:rsidRPr="00E67E38">
        <w:rPr>
          <w:rFonts w:cs="Times"/>
        </w:rPr>
        <w:t xml:space="preserve">Au terme de </w:t>
      </w:r>
      <w:r w:rsidR="00BC0C05">
        <w:rPr>
          <w:rFonts w:cs="Times"/>
        </w:rPr>
        <w:t>la</w:t>
      </w:r>
      <w:r w:rsidRPr="00E67E38">
        <w:rPr>
          <w:rFonts w:cs="Times"/>
        </w:rPr>
        <w:t xml:space="preserve"> reconstitution et de ces multiples calculs et conversions, la série obtenu</w:t>
      </w:r>
      <w:r w:rsidR="00BC0C05">
        <w:rPr>
          <w:rFonts w:cs="Times"/>
        </w:rPr>
        <w:t xml:space="preserve">e offre une pertinence inégale, </w:t>
      </w:r>
      <w:r w:rsidRPr="00E67E38">
        <w:rPr>
          <w:rFonts w:cs="Times"/>
        </w:rPr>
        <w:t xml:space="preserve">compte tenu </w:t>
      </w:r>
      <w:r w:rsidR="00BC0C05">
        <w:rPr>
          <w:rFonts w:cs="Times"/>
        </w:rPr>
        <w:t>de la connaissance générale de l’évolution de la branche chimique. L</w:t>
      </w:r>
      <w:r w:rsidRPr="00E67E38">
        <w:rPr>
          <w:rFonts w:cs="Times"/>
        </w:rPr>
        <w:t>a décennie 1970 est marquée</w:t>
      </w:r>
      <w:r w:rsidRPr="00BC0C05">
        <w:rPr>
          <w:rFonts w:cs="Times"/>
          <w:color w:val="000000" w:themeColor="text1"/>
        </w:rPr>
        <w:t xml:space="preserve">, certes, par un certain « emballement » (plus ou moins plausible) du niveau des rémunérations mais aussi par un creusement des inégalités entre régions </w:t>
      </w:r>
      <w:r w:rsidR="00BC0C05">
        <w:rPr>
          <w:rFonts w:cs="Times"/>
          <w:color w:val="000000" w:themeColor="text1"/>
        </w:rPr>
        <w:t xml:space="preserve">que la série traduit d’une manière plutôt exagérée. La comparaison par le dollar ou par l’ECU ne donne pas exactement les mêmes résultats. </w:t>
      </w:r>
      <w:r w:rsidRPr="00E67E38">
        <w:rPr>
          <w:rFonts w:cs="Times"/>
        </w:rPr>
        <w:t xml:space="preserve">En prenant la France pour référence, on s’aperçoit que les différences de salaire avec ses voisins allemands et belges sont sous-évaluées par les données produites. Toutefois, l’évolution de ces inégalités suit une même tendance dans les deux cas. </w:t>
      </w:r>
    </w:p>
    <w:p w14:paraId="71CE59D6" w14:textId="083B5E39" w:rsidR="000E1DD9" w:rsidRPr="00E67E38" w:rsidRDefault="000E1DD9" w:rsidP="00BC0C05">
      <w:pPr>
        <w:widowControl w:val="0"/>
        <w:autoSpaceDE w:val="0"/>
        <w:autoSpaceDN w:val="0"/>
        <w:adjustRightInd w:val="0"/>
        <w:ind w:firstLine="284"/>
        <w:rPr>
          <w:rFonts w:cs="Times"/>
        </w:rPr>
      </w:pPr>
      <w:r w:rsidRPr="00E67E38">
        <w:rPr>
          <w:rFonts w:cs="Times"/>
        </w:rPr>
        <w:t xml:space="preserve">Il est </w:t>
      </w:r>
      <w:r w:rsidR="00BC0C05">
        <w:rPr>
          <w:rFonts w:cs="Times"/>
        </w:rPr>
        <w:t xml:space="preserve">par ailleurs </w:t>
      </w:r>
      <w:r w:rsidRPr="00E67E38">
        <w:rPr>
          <w:rFonts w:cs="Times"/>
        </w:rPr>
        <w:t>difficile de trouver des informations chiffrées pour la différence salariale entre ouvriers et employés, les inégalités de rémunération hommes-femmes et t</w:t>
      </w:r>
      <w:r w:rsidR="00D74F20">
        <w:rPr>
          <w:rFonts w:cs="Times"/>
        </w:rPr>
        <w:t xml:space="preserve">outes les formes de dispersion : </w:t>
      </w:r>
      <w:r w:rsidRPr="00E67E38">
        <w:rPr>
          <w:rFonts w:cs="Times"/>
        </w:rPr>
        <w:t>selon les occupati</w:t>
      </w:r>
      <w:r w:rsidR="00D74F20">
        <w:rPr>
          <w:rFonts w:cs="Times"/>
        </w:rPr>
        <w:t>ons, les sous- secteurs ou les régions : e</w:t>
      </w:r>
      <w:r w:rsidRPr="00E67E38">
        <w:rPr>
          <w:rFonts w:cs="Times"/>
        </w:rPr>
        <w:t xml:space="preserve">n 1969, l’écart-type des gains horaires régionaux dans la chimie par rapport à la moyenne nationale était de 0,75 DM en Allemagne de l’ouest (0,20 $) et de 1,34 FF en France (0,24 $) </w:t>
      </w:r>
    </w:p>
    <w:p w14:paraId="1E2BD171" w14:textId="77777777" w:rsidR="001E63D9" w:rsidRDefault="001E63D9" w:rsidP="003873AC">
      <w:pPr>
        <w:rPr>
          <w:rFonts w:cs="Times"/>
        </w:rPr>
      </w:pPr>
    </w:p>
    <w:p w14:paraId="02C32ED0" w14:textId="2B5AB700" w:rsidR="00AA717F" w:rsidRPr="000308B9" w:rsidRDefault="001E63D9" w:rsidP="006C5CD6">
      <w:r>
        <w:tab/>
        <w:t xml:space="preserve">Fin de l’atelier vers 16 h. L’ensemble des participants semble satisfait des échanges et du caractère prometteur des travaux qui s’annoncent. </w:t>
      </w:r>
    </w:p>
    <w:sectPr w:rsidR="00AA717F" w:rsidRPr="000308B9" w:rsidSect="0018127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0A3AF" w14:textId="77777777" w:rsidR="009A319B" w:rsidRDefault="009A319B" w:rsidP="001635E4">
      <w:r>
        <w:separator/>
      </w:r>
    </w:p>
  </w:endnote>
  <w:endnote w:type="continuationSeparator" w:id="0">
    <w:p w14:paraId="58B671E9" w14:textId="77777777" w:rsidR="009A319B" w:rsidRDefault="009A319B" w:rsidP="0016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Menlo Bold">
    <w:charset w:val="00"/>
    <w:family w:val="auto"/>
    <w:pitch w:val="variable"/>
    <w:sig w:usb0="E60022FF" w:usb1="D000F1FB" w:usb2="00000028" w:usb3="00000000" w:csb0="000001D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F704" w14:textId="77777777" w:rsidR="00AA717F" w:rsidRDefault="00AA717F" w:rsidP="001635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D70CC1" w14:textId="77777777" w:rsidR="00AA717F" w:rsidRDefault="00AA717F" w:rsidP="001635E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012F" w14:textId="77777777" w:rsidR="00AA717F" w:rsidRDefault="00AA717F" w:rsidP="001635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A319B">
      <w:rPr>
        <w:rStyle w:val="Numrodepage"/>
        <w:noProof/>
      </w:rPr>
      <w:t>1</w:t>
    </w:r>
    <w:r>
      <w:rPr>
        <w:rStyle w:val="Numrodepage"/>
      </w:rPr>
      <w:fldChar w:fldCharType="end"/>
    </w:r>
  </w:p>
  <w:p w14:paraId="65CA561A" w14:textId="77777777" w:rsidR="00AA717F" w:rsidRDefault="00AA717F" w:rsidP="001635E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0BB75" w14:textId="77777777" w:rsidR="009A319B" w:rsidRDefault="009A319B" w:rsidP="001635E4">
      <w:r>
        <w:separator/>
      </w:r>
    </w:p>
  </w:footnote>
  <w:footnote w:type="continuationSeparator" w:id="0">
    <w:p w14:paraId="73358DBC" w14:textId="77777777" w:rsidR="009A319B" w:rsidRDefault="009A319B" w:rsidP="001635E4">
      <w:r>
        <w:continuationSeparator/>
      </w:r>
    </w:p>
  </w:footnote>
  <w:footnote w:id="1">
    <w:p w14:paraId="7BA51995" w14:textId="4750713F" w:rsidR="00AA717F" w:rsidRDefault="00AA717F">
      <w:pPr>
        <w:pStyle w:val="Notedebasdepage"/>
      </w:pPr>
      <w:r>
        <w:rPr>
          <w:rStyle w:val="Appelnotedebasdep"/>
        </w:rPr>
        <w:footnoteRef/>
      </w:r>
      <w:r>
        <w:t xml:space="preserve"> Eekhout, I, de Boer RM, Twisk JW, Heymans MV, </w:t>
      </w:r>
      <w:r w:rsidRPr="001D3060">
        <w:rPr>
          <w:rFonts w:eastAsia="Times New Roman" w:cs="Arial"/>
          <w:color w:val="000000"/>
          <w:lang w:val="en-GB"/>
        </w:rPr>
        <w:t>“</w:t>
      </w:r>
      <w:r w:rsidRPr="001D3060">
        <w:rPr>
          <w:rFonts w:eastAsia="Times New Roman" w:cs="Arial"/>
          <w:bCs/>
          <w:color w:val="000000"/>
          <w:kern w:val="36"/>
          <w:lang w:val="en-GB"/>
        </w:rPr>
        <w:t xml:space="preserve">Missing </w:t>
      </w:r>
      <w:r w:rsidR="00C63A81" w:rsidRPr="001D3060">
        <w:rPr>
          <w:rFonts w:eastAsia="Times New Roman" w:cs="Arial"/>
          <w:bCs/>
          <w:color w:val="000000"/>
          <w:kern w:val="36"/>
          <w:lang w:val="en-GB"/>
        </w:rPr>
        <w:t>data :</w:t>
      </w:r>
      <w:r w:rsidRPr="001D3060">
        <w:rPr>
          <w:rFonts w:eastAsia="Times New Roman" w:cs="Arial"/>
          <w:bCs/>
          <w:color w:val="000000"/>
          <w:kern w:val="36"/>
          <w:lang w:val="en-GB"/>
        </w:rPr>
        <w:t xml:space="preserve"> a systematic review of how they are reported and handled”</w:t>
      </w:r>
      <w:r>
        <w:rPr>
          <w:rFonts w:eastAsia="Times New Roman" w:cs="Arial"/>
          <w:bCs/>
          <w:color w:val="000000"/>
          <w:kern w:val="36"/>
          <w:lang w:val="en-GB"/>
        </w:rPr>
        <w:t xml:space="preserve">, </w:t>
      </w:r>
      <w:r w:rsidRPr="001D3060">
        <w:rPr>
          <w:rFonts w:eastAsia="Times New Roman" w:cs="Arial"/>
          <w:i/>
          <w:color w:val="000000"/>
          <w:lang w:val="en-GB"/>
        </w:rPr>
        <w:t>Epidemiology</w:t>
      </w:r>
      <w:r>
        <w:rPr>
          <w:rFonts w:eastAsia="Times New Roman" w:cs="Arial"/>
          <w:color w:val="000000"/>
          <w:lang w:val="en-GB"/>
        </w:rPr>
        <w:t xml:space="preserve">, 2012 Sept. 23(5), p. 729-32. </w:t>
      </w:r>
      <w:r w:rsidR="00B4111F">
        <w:rPr>
          <w:rFonts w:cs="Arial"/>
          <w:color w:val="000000"/>
          <w:lang w:val="en-GB"/>
        </w:rPr>
        <w:t xml:space="preserve"> </w:t>
      </w:r>
    </w:p>
  </w:footnote>
  <w:footnote w:id="2">
    <w:p w14:paraId="2FA80EBA" w14:textId="497A52DD" w:rsidR="00362498" w:rsidRDefault="00362498">
      <w:pPr>
        <w:pStyle w:val="Notedebasdepage"/>
      </w:pPr>
      <w:r>
        <w:rPr>
          <w:rStyle w:val="Appelnotedebasdep"/>
        </w:rPr>
        <w:footnoteRef/>
      </w:r>
      <w:r>
        <w:t xml:space="preserve"> </w:t>
      </w:r>
      <w:r w:rsidRPr="00362498">
        <w:rPr>
          <w:sz w:val="20"/>
          <w:szCs w:val="20"/>
        </w:rPr>
        <w:t xml:space="preserve">Entre autres, sur la période avant l’introduction de l’euro : </w:t>
      </w:r>
      <w:r w:rsidRPr="00362498">
        <w:rPr>
          <w:rFonts w:cs="Times New Roman"/>
          <w:sz w:val="20"/>
          <w:szCs w:val="20"/>
        </w:rPr>
        <w:t xml:space="preserve">Jung and Doroodian (2001), </w:t>
      </w:r>
      <w:r w:rsidRPr="00362498">
        <w:rPr>
          <w:rFonts w:cs="Times New Roman"/>
          <w:i/>
          <w:sz w:val="20"/>
          <w:szCs w:val="20"/>
        </w:rPr>
        <w:t>Convergence in manufacturing labour costs due to wages</w:t>
      </w:r>
      <w:r w:rsidRPr="00362498">
        <w:rPr>
          <w:rFonts w:cs="Times New Roman"/>
          <w:sz w:val="20"/>
          <w:szCs w:val="20"/>
        </w:rPr>
        <w:t xml:space="preserve">, Andersen et al (2000), </w:t>
      </w:r>
      <w:r w:rsidRPr="00362498">
        <w:rPr>
          <w:rFonts w:cs="Times New Roman"/>
          <w:i/>
          <w:sz w:val="20"/>
          <w:szCs w:val="20"/>
        </w:rPr>
        <w:t>Convergence of nominal wages</w:t>
      </w:r>
      <w:r w:rsidRPr="00362498">
        <w:rPr>
          <w:rFonts w:cs="Times New Roman"/>
          <w:sz w:val="20"/>
          <w:szCs w:val="20"/>
        </w:rPr>
        <w:t xml:space="preserve">, et sur la période avant et pendant l’introduction de l’euro, Mora et al (2005), </w:t>
      </w:r>
      <w:r w:rsidRPr="00362498">
        <w:rPr>
          <w:rFonts w:cs="Times New Roman"/>
          <w:i/>
          <w:sz w:val="20"/>
          <w:szCs w:val="20"/>
        </w:rPr>
        <w:t>Convergence of nominal wages</w:t>
      </w:r>
      <w:r w:rsidRPr="00362498">
        <w:rPr>
          <w:rFonts w:cs="Times New Roman"/>
          <w:sz w:val="20"/>
          <w:szCs w:val="20"/>
        </w:rPr>
        <w:t>.</w:t>
      </w:r>
    </w:p>
  </w:footnote>
  <w:footnote w:id="3">
    <w:p w14:paraId="4382F1D0" w14:textId="1BD1C0DA" w:rsidR="00AA717F" w:rsidRDefault="00AA717F">
      <w:pPr>
        <w:pStyle w:val="Notedebasdepage"/>
      </w:pPr>
      <w:r>
        <w:rPr>
          <w:rStyle w:val="Appelnotedebasdep"/>
        </w:rPr>
        <w:footnoteRef/>
      </w:r>
      <w:r>
        <w:t xml:space="preserve"> </w:t>
      </w:r>
      <w:r w:rsidRPr="00362498">
        <w:rPr>
          <w:sz w:val="20"/>
          <w:szCs w:val="20"/>
        </w:rPr>
        <w:t>Dans la théorie des systèmes, un système ou un processus est dans un état stable/stationnaire si les variables (d’état) qui définissent le comportement du système ou le processus sont immuables dans le temps. En temps continu, cela signifie que, pour les propriétés p du système, la dérivée partielle par rapport au temps est nulle et le reste</w:t>
      </w:r>
    </w:p>
  </w:footnote>
  <w:footnote w:id="4">
    <w:p w14:paraId="08D99BF3" w14:textId="194D05C2" w:rsidR="00D8605B" w:rsidRDefault="00D8605B">
      <w:pPr>
        <w:pStyle w:val="Notedebasdepage"/>
      </w:pPr>
      <w:r>
        <w:rPr>
          <w:rStyle w:val="Appelnotedebasdep"/>
        </w:rPr>
        <w:footnoteRef/>
      </w:r>
      <w:r>
        <w:t xml:space="preserve"> </w:t>
      </w:r>
      <w:r w:rsidRPr="00D8605B">
        <w:rPr>
          <w:sz w:val="20"/>
          <w:szCs w:val="20"/>
        </w:rPr>
        <w:t xml:space="preserve">Voir les </w:t>
      </w:r>
      <w:r w:rsidRPr="00D8605B">
        <w:rPr>
          <w:rFonts w:eastAsia="Times New Roman" w:cs="Times New Roman"/>
          <w:color w:val="000000"/>
          <w:sz w:val="20"/>
          <w:szCs w:val="20"/>
        </w:rPr>
        <w:t>travaux de Sophie Meunier (</w:t>
      </w:r>
      <w:r w:rsidRPr="00D8605B">
        <w:rPr>
          <w:rFonts w:eastAsia="Times New Roman" w:cs="Times New Roman"/>
          <w:i/>
          <w:iCs/>
          <w:color w:val="252525"/>
          <w:sz w:val="20"/>
          <w:szCs w:val="20"/>
          <w:shd w:val="clear" w:color="auto" w:fill="FFFFFF"/>
        </w:rPr>
        <w:t xml:space="preserve">L'Union fait la force : L'Europe dans les négociations commerciales internationales, </w:t>
      </w:r>
      <w:r w:rsidRPr="00D8605B">
        <w:rPr>
          <w:rFonts w:eastAsia="Times New Roman" w:cs="Times New Roman"/>
          <w:iCs/>
          <w:color w:val="252525"/>
          <w:sz w:val="20"/>
          <w:szCs w:val="20"/>
          <w:shd w:val="clear" w:color="auto" w:fill="FFFFFF"/>
        </w:rPr>
        <w:t>Paris</w:t>
      </w:r>
      <w:r w:rsidRPr="00D8605B">
        <w:rPr>
          <w:rFonts w:eastAsia="Times New Roman" w:cs="Times New Roman"/>
          <w:color w:val="252525"/>
          <w:sz w:val="20"/>
          <w:szCs w:val="20"/>
          <w:shd w:val="clear" w:color="auto" w:fill="FFFFFF"/>
        </w:rPr>
        <w:t>, Presses de Sciences Po, 2005, Edition américaine Routledge, 2010)</w:t>
      </w:r>
    </w:p>
  </w:footnote>
  <w:footnote w:id="5">
    <w:p w14:paraId="6E0181AB" w14:textId="49712189" w:rsidR="002D042A" w:rsidRPr="00A9088C" w:rsidRDefault="002D042A">
      <w:pPr>
        <w:pStyle w:val="Notedebasdepage"/>
      </w:pPr>
      <w:r>
        <w:rPr>
          <w:rStyle w:val="Appelnotedebasdep"/>
        </w:rPr>
        <w:footnoteRef/>
      </w:r>
      <w:r>
        <w:t xml:space="preserve"> </w:t>
      </w:r>
      <w:r w:rsidR="00A9088C" w:rsidRPr="00A9088C">
        <w:rPr>
          <w:rFonts w:eastAsia="Times New Roman" w:cs="Arial"/>
          <w:bCs/>
          <w:color w:val="000000" w:themeColor="text1"/>
          <w:sz w:val="20"/>
          <w:szCs w:val="20"/>
          <w:shd w:val="clear" w:color="auto" w:fill="FFFFFF"/>
          <w:lang w:val="en-GB"/>
        </w:rPr>
        <w:t>E. H</w:t>
      </w:r>
      <w:r w:rsidRPr="00A9088C">
        <w:rPr>
          <w:rFonts w:eastAsia="Times New Roman" w:cs="Arial"/>
          <w:bCs/>
          <w:color w:val="000000" w:themeColor="text1"/>
          <w:sz w:val="20"/>
          <w:szCs w:val="20"/>
          <w:shd w:val="clear" w:color="auto" w:fill="FFFFFF"/>
          <w:lang w:val="en-GB"/>
        </w:rPr>
        <w:t>elpman</w:t>
      </w:r>
      <w:r w:rsidR="00A9088C" w:rsidRPr="00A9088C">
        <w:rPr>
          <w:rFonts w:eastAsia="Times New Roman" w:cs="Arial"/>
          <w:color w:val="000000" w:themeColor="text1"/>
          <w:sz w:val="20"/>
          <w:szCs w:val="20"/>
          <w:shd w:val="clear" w:color="auto" w:fill="FFFFFF"/>
          <w:lang w:val="en-GB"/>
        </w:rPr>
        <w:t xml:space="preserve"> et al</w:t>
      </w:r>
      <w:r w:rsidRPr="00A9088C">
        <w:rPr>
          <w:rFonts w:eastAsia="Times New Roman" w:cs="Arial"/>
          <w:color w:val="000000" w:themeColor="text1"/>
          <w:sz w:val="20"/>
          <w:szCs w:val="20"/>
          <w:shd w:val="clear" w:color="auto" w:fill="FFFFFF"/>
          <w:lang w:val="en-GB"/>
        </w:rPr>
        <w:t xml:space="preserve">, </w:t>
      </w:r>
      <w:r w:rsidR="00A9088C">
        <w:rPr>
          <w:rFonts w:eastAsia="Times New Roman" w:cs="Arial"/>
          <w:color w:val="000000" w:themeColor="text1"/>
          <w:sz w:val="20"/>
          <w:szCs w:val="20"/>
          <w:shd w:val="clear" w:color="auto" w:fill="FFFFFF"/>
          <w:lang w:val="en-GB"/>
        </w:rPr>
        <w:t>“</w:t>
      </w:r>
      <w:r w:rsidR="00A9088C" w:rsidRPr="00A9088C">
        <w:rPr>
          <w:rFonts w:eastAsia="Times New Roman" w:cs="Arial"/>
          <w:color w:val="000000" w:themeColor="text1"/>
          <w:sz w:val="20"/>
          <w:szCs w:val="20"/>
          <w:shd w:val="clear" w:color="auto" w:fill="FFFFFF"/>
          <w:lang w:val="en-GB"/>
        </w:rPr>
        <w:t xml:space="preserve">Trade and Inequality, </w:t>
      </w:r>
      <w:r w:rsidR="00A9088C">
        <w:rPr>
          <w:rFonts w:eastAsia="Times New Roman" w:cs="Arial"/>
          <w:color w:val="000000" w:themeColor="text1"/>
          <w:sz w:val="20"/>
          <w:szCs w:val="20"/>
          <w:shd w:val="clear" w:color="auto" w:fill="FFFFFF"/>
          <w:lang w:val="en-GB"/>
        </w:rPr>
        <w:t xml:space="preserve">From Theory to Estimation”, </w:t>
      </w:r>
      <w:r w:rsidR="00A9088C">
        <w:rPr>
          <w:rFonts w:eastAsia="Times New Roman" w:cs="Arial"/>
          <w:i/>
          <w:color w:val="000000" w:themeColor="text1"/>
          <w:sz w:val="20"/>
          <w:szCs w:val="20"/>
          <w:shd w:val="clear" w:color="auto" w:fill="FFFFFF"/>
          <w:lang w:val="en-GB"/>
        </w:rPr>
        <w:t xml:space="preserve">Review of Economic Studies, </w:t>
      </w:r>
      <w:r w:rsidR="00A9088C" w:rsidRPr="00A9088C">
        <w:rPr>
          <w:rFonts w:eastAsia="Times New Roman" w:cs="Arial"/>
          <w:color w:val="000000" w:themeColor="text1"/>
          <w:sz w:val="20"/>
          <w:szCs w:val="20"/>
          <w:shd w:val="clear" w:color="auto" w:fill="FFFFFF"/>
          <w:lang w:val="en-GB"/>
        </w:rPr>
        <w:t>March 2016, online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334661"/>
    <w:multiLevelType w:val="multilevel"/>
    <w:tmpl w:val="89BC9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593DF4"/>
    <w:multiLevelType w:val="hybridMultilevel"/>
    <w:tmpl w:val="D90AEBFC"/>
    <w:lvl w:ilvl="0" w:tplc="3C2E04A8">
      <w:start w:val="3"/>
      <w:numFmt w:val="bullet"/>
      <w:lvlText w:val="-"/>
      <w:lvlJc w:val="left"/>
      <w:pPr>
        <w:ind w:left="720" w:hanging="360"/>
      </w:pPr>
      <w:rPr>
        <w:rFonts w:ascii="Times" w:eastAsia="Times New Roman"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6A465F"/>
    <w:multiLevelType w:val="hybridMultilevel"/>
    <w:tmpl w:val="429CC88A"/>
    <w:lvl w:ilvl="0" w:tplc="F500A64C">
      <w:start w:val="4"/>
      <w:numFmt w:val="bullet"/>
      <w:lvlText w:val=""/>
      <w:lvlJc w:val="left"/>
      <w:pPr>
        <w:ind w:left="764" w:hanging="480"/>
      </w:pPr>
      <w:rPr>
        <w:rFonts w:ascii="Wingdings" w:eastAsiaTheme="minorEastAsia" w:hAnsi="Wingdings" w:cstheme="minorBidi" w:hint="default"/>
        <w:color w:val="0000FF"/>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278F4717"/>
    <w:multiLevelType w:val="multilevel"/>
    <w:tmpl w:val="010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A5A99"/>
    <w:multiLevelType w:val="hybridMultilevel"/>
    <w:tmpl w:val="3EBE7366"/>
    <w:lvl w:ilvl="0" w:tplc="9ED83254">
      <w:start w:val="3"/>
      <w:numFmt w:val="bullet"/>
      <w:lvlText w:val="-"/>
      <w:lvlJc w:val="left"/>
      <w:pPr>
        <w:ind w:left="720" w:hanging="360"/>
      </w:pPr>
      <w:rPr>
        <w:rFonts w:ascii="Times" w:eastAsia="Times New Roman" w:hAnsi="Time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FE18FB"/>
    <w:multiLevelType w:val="hybridMultilevel"/>
    <w:tmpl w:val="1C22AFA4"/>
    <w:lvl w:ilvl="0" w:tplc="4C62D78E">
      <w:start w:val="5"/>
      <w:numFmt w:val="bullet"/>
      <w:lvlText w:val="-"/>
      <w:lvlJc w:val="left"/>
      <w:pPr>
        <w:ind w:left="720" w:hanging="360"/>
      </w:pPr>
      <w:rPr>
        <w:rFonts w:ascii="Times" w:eastAsiaTheme="minorEastAsia"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264469"/>
    <w:multiLevelType w:val="hybridMultilevel"/>
    <w:tmpl w:val="5EE84E32"/>
    <w:lvl w:ilvl="0" w:tplc="3BA6B688">
      <w:start w:val="1"/>
      <w:numFmt w:val="bullet"/>
      <w:lvlText w:val="•"/>
      <w:lvlJc w:val="left"/>
      <w:pPr>
        <w:tabs>
          <w:tab w:val="num" w:pos="720"/>
        </w:tabs>
        <w:ind w:left="720" w:hanging="360"/>
      </w:pPr>
      <w:rPr>
        <w:rFonts w:ascii="Arial" w:hAnsi="Arial" w:hint="default"/>
      </w:rPr>
    </w:lvl>
    <w:lvl w:ilvl="1" w:tplc="018E24FE" w:tentative="1">
      <w:start w:val="1"/>
      <w:numFmt w:val="bullet"/>
      <w:lvlText w:val="•"/>
      <w:lvlJc w:val="left"/>
      <w:pPr>
        <w:tabs>
          <w:tab w:val="num" w:pos="1440"/>
        </w:tabs>
        <w:ind w:left="1440" w:hanging="360"/>
      </w:pPr>
      <w:rPr>
        <w:rFonts w:ascii="Arial" w:hAnsi="Arial" w:hint="default"/>
      </w:rPr>
    </w:lvl>
    <w:lvl w:ilvl="2" w:tplc="7572146E" w:tentative="1">
      <w:start w:val="1"/>
      <w:numFmt w:val="bullet"/>
      <w:lvlText w:val="•"/>
      <w:lvlJc w:val="left"/>
      <w:pPr>
        <w:tabs>
          <w:tab w:val="num" w:pos="2160"/>
        </w:tabs>
        <w:ind w:left="2160" w:hanging="360"/>
      </w:pPr>
      <w:rPr>
        <w:rFonts w:ascii="Arial" w:hAnsi="Arial" w:hint="default"/>
      </w:rPr>
    </w:lvl>
    <w:lvl w:ilvl="3" w:tplc="19D459AA" w:tentative="1">
      <w:start w:val="1"/>
      <w:numFmt w:val="bullet"/>
      <w:lvlText w:val="•"/>
      <w:lvlJc w:val="left"/>
      <w:pPr>
        <w:tabs>
          <w:tab w:val="num" w:pos="2880"/>
        </w:tabs>
        <w:ind w:left="2880" w:hanging="360"/>
      </w:pPr>
      <w:rPr>
        <w:rFonts w:ascii="Arial" w:hAnsi="Arial" w:hint="default"/>
      </w:rPr>
    </w:lvl>
    <w:lvl w:ilvl="4" w:tplc="3C9EC978" w:tentative="1">
      <w:start w:val="1"/>
      <w:numFmt w:val="bullet"/>
      <w:lvlText w:val="•"/>
      <w:lvlJc w:val="left"/>
      <w:pPr>
        <w:tabs>
          <w:tab w:val="num" w:pos="3600"/>
        </w:tabs>
        <w:ind w:left="3600" w:hanging="360"/>
      </w:pPr>
      <w:rPr>
        <w:rFonts w:ascii="Arial" w:hAnsi="Arial" w:hint="default"/>
      </w:rPr>
    </w:lvl>
    <w:lvl w:ilvl="5" w:tplc="BB068BFA" w:tentative="1">
      <w:start w:val="1"/>
      <w:numFmt w:val="bullet"/>
      <w:lvlText w:val="•"/>
      <w:lvlJc w:val="left"/>
      <w:pPr>
        <w:tabs>
          <w:tab w:val="num" w:pos="4320"/>
        </w:tabs>
        <w:ind w:left="4320" w:hanging="360"/>
      </w:pPr>
      <w:rPr>
        <w:rFonts w:ascii="Arial" w:hAnsi="Arial" w:hint="default"/>
      </w:rPr>
    </w:lvl>
    <w:lvl w:ilvl="6" w:tplc="6066B46C" w:tentative="1">
      <w:start w:val="1"/>
      <w:numFmt w:val="bullet"/>
      <w:lvlText w:val="•"/>
      <w:lvlJc w:val="left"/>
      <w:pPr>
        <w:tabs>
          <w:tab w:val="num" w:pos="5040"/>
        </w:tabs>
        <w:ind w:left="5040" w:hanging="360"/>
      </w:pPr>
      <w:rPr>
        <w:rFonts w:ascii="Arial" w:hAnsi="Arial" w:hint="default"/>
      </w:rPr>
    </w:lvl>
    <w:lvl w:ilvl="7" w:tplc="076AC664" w:tentative="1">
      <w:start w:val="1"/>
      <w:numFmt w:val="bullet"/>
      <w:lvlText w:val="•"/>
      <w:lvlJc w:val="left"/>
      <w:pPr>
        <w:tabs>
          <w:tab w:val="num" w:pos="5760"/>
        </w:tabs>
        <w:ind w:left="5760" w:hanging="360"/>
      </w:pPr>
      <w:rPr>
        <w:rFonts w:ascii="Arial" w:hAnsi="Arial" w:hint="default"/>
      </w:rPr>
    </w:lvl>
    <w:lvl w:ilvl="8" w:tplc="8F66E41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7"/>
  </w:num>
  <w:num w:numId="4">
    <w:abstractNumId w:val="0"/>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
  </w:num>
  <w:num w:numId="7">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28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A"/>
    <w:rsid w:val="00001D7F"/>
    <w:rsid w:val="00005DAA"/>
    <w:rsid w:val="00022CE4"/>
    <w:rsid w:val="00023646"/>
    <w:rsid w:val="0002487C"/>
    <w:rsid w:val="00024AF2"/>
    <w:rsid w:val="000308B9"/>
    <w:rsid w:val="00056C4E"/>
    <w:rsid w:val="00060476"/>
    <w:rsid w:val="00061B4A"/>
    <w:rsid w:val="00063CD4"/>
    <w:rsid w:val="000731E4"/>
    <w:rsid w:val="000A5669"/>
    <w:rsid w:val="000B4155"/>
    <w:rsid w:val="000C1130"/>
    <w:rsid w:val="000D6E82"/>
    <w:rsid w:val="000E1DD9"/>
    <w:rsid w:val="000F6C2B"/>
    <w:rsid w:val="00104C60"/>
    <w:rsid w:val="0011204F"/>
    <w:rsid w:val="001308DC"/>
    <w:rsid w:val="00143853"/>
    <w:rsid w:val="00152813"/>
    <w:rsid w:val="001635E4"/>
    <w:rsid w:val="00172107"/>
    <w:rsid w:val="0018127D"/>
    <w:rsid w:val="00194AB5"/>
    <w:rsid w:val="00194C77"/>
    <w:rsid w:val="001A65E9"/>
    <w:rsid w:val="001B1B2A"/>
    <w:rsid w:val="001C4AE1"/>
    <w:rsid w:val="001D3060"/>
    <w:rsid w:val="001E4755"/>
    <w:rsid w:val="001E63D9"/>
    <w:rsid w:val="001F3C3C"/>
    <w:rsid w:val="00200C02"/>
    <w:rsid w:val="00202400"/>
    <w:rsid w:val="002025D4"/>
    <w:rsid w:val="00207358"/>
    <w:rsid w:val="0024687A"/>
    <w:rsid w:val="0025337E"/>
    <w:rsid w:val="00254EE7"/>
    <w:rsid w:val="0027205B"/>
    <w:rsid w:val="00277153"/>
    <w:rsid w:val="00277EDA"/>
    <w:rsid w:val="0028154F"/>
    <w:rsid w:val="00287140"/>
    <w:rsid w:val="00296745"/>
    <w:rsid w:val="002A5072"/>
    <w:rsid w:val="002B5CC6"/>
    <w:rsid w:val="002D042A"/>
    <w:rsid w:val="002E3EF1"/>
    <w:rsid w:val="002F4DEB"/>
    <w:rsid w:val="002F60F8"/>
    <w:rsid w:val="00301D98"/>
    <w:rsid w:val="0032633C"/>
    <w:rsid w:val="00362162"/>
    <w:rsid w:val="00362498"/>
    <w:rsid w:val="00365553"/>
    <w:rsid w:val="00383397"/>
    <w:rsid w:val="003840AE"/>
    <w:rsid w:val="00385883"/>
    <w:rsid w:val="003873AC"/>
    <w:rsid w:val="00387550"/>
    <w:rsid w:val="0039281B"/>
    <w:rsid w:val="003968A5"/>
    <w:rsid w:val="003C0814"/>
    <w:rsid w:val="003E020F"/>
    <w:rsid w:val="003E1F6D"/>
    <w:rsid w:val="004068E4"/>
    <w:rsid w:val="00406D4D"/>
    <w:rsid w:val="00417B00"/>
    <w:rsid w:val="00425B07"/>
    <w:rsid w:val="004311C5"/>
    <w:rsid w:val="00433CD4"/>
    <w:rsid w:val="00437847"/>
    <w:rsid w:val="00460222"/>
    <w:rsid w:val="004644BB"/>
    <w:rsid w:val="004653C4"/>
    <w:rsid w:val="00466E33"/>
    <w:rsid w:val="00467ACF"/>
    <w:rsid w:val="00481D56"/>
    <w:rsid w:val="00487CCE"/>
    <w:rsid w:val="00490679"/>
    <w:rsid w:val="0049286F"/>
    <w:rsid w:val="004F79E0"/>
    <w:rsid w:val="005164E3"/>
    <w:rsid w:val="00524E2E"/>
    <w:rsid w:val="00526243"/>
    <w:rsid w:val="00532801"/>
    <w:rsid w:val="00533434"/>
    <w:rsid w:val="00554D80"/>
    <w:rsid w:val="005615D7"/>
    <w:rsid w:val="00570BF8"/>
    <w:rsid w:val="00571647"/>
    <w:rsid w:val="0058217C"/>
    <w:rsid w:val="00594570"/>
    <w:rsid w:val="005A3170"/>
    <w:rsid w:val="005D6793"/>
    <w:rsid w:val="005F045C"/>
    <w:rsid w:val="005F19D2"/>
    <w:rsid w:val="006002A5"/>
    <w:rsid w:val="00604909"/>
    <w:rsid w:val="00610B2E"/>
    <w:rsid w:val="00624337"/>
    <w:rsid w:val="00642CAF"/>
    <w:rsid w:val="00656FD1"/>
    <w:rsid w:val="006A7C90"/>
    <w:rsid w:val="006C1C70"/>
    <w:rsid w:val="006C5CD6"/>
    <w:rsid w:val="006C5EC2"/>
    <w:rsid w:val="006D183F"/>
    <w:rsid w:val="006D3DBF"/>
    <w:rsid w:val="006E2356"/>
    <w:rsid w:val="00712EB7"/>
    <w:rsid w:val="00723BCB"/>
    <w:rsid w:val="007303A6"/>
    <w:rsid w:val="00745180"/>
    <w:rsid w:val="00750021"/>
    <w:rsid w:val="00782C4C"/>
    <w:rsid w:val="00784CF6"/>
    <w:rsid w:val="007A0A35"/>
    <w:rsid w:val="007A0D16"/>
    <w:rsid w:val="007A37A6"/>
    <w:rsid w:val="007A6692"/>
    <w:rsid w:val="007B086B"/>
    <w:rsid w:val="007C2F52"/>
    <w:rsid w:val="007D7B78"/>
    <w:rsid w:val="007F7A98"/>
    <w:rsid w:val="00832AFD"/>
    <w:rsid w:val="00846D2D"/>
    <w:rsid w:val="00860D1A"/>
    <w:rsid w:val="0086598C"/>
    <w:rsid w:val="00872733"/>
    <w:rsid w:val="008762C4"/>
    <w:rsid w:val="0088349E"/>
    <w:rsid w:val="0088751E"/>
    <w:rsid w:val="00887E9F"/>
    <w:rsid w:val="00893960"/>
    <w:rsid w:val="00894A16"/>
    <w:rsid w:val="008B461F"/>
    <w:rsid w:val="008C338F"/>
    <w:rsid w:val="008D2C05"/>
    <w:rsid w:val="008D4CD3"/>
    <w:rsid w:val="008E0834"/>
    <w:rsid w:val="00903F37"/>
    <w:rsid w:val="009059B9"/>
    <w:rsid w:val="0092560F"/>
    <w:rsid w:val="009413FB"/>
    <w:rsid w:val="00945B33"/>
    <w:rsid w:val="00947E02"/>
    <w:rsid w:val="00960358"/>
    <w:rsid w:val="009902DA"/>
    <w:rsid w:val="009A0E2C"/>
    <w:rsid w:val="009A152D"/>
    <w:rsid w:val="009A319B"/>
    <w:rsid w:val="009C61D0"/>
    <w:rsid w:val="009D6E41"/>
    <w:rsid w:val="009F1986"/>
    <w:rsid w:val="009F61BC"/>
    <w:rsid w:val="00A07ADC"/>
    <w:rsid w:val="00A2554B"/>
    <w:rsid w:val="00A3343D"/>
    <w:rsid w:val="00A354B9"/>
    <w:rsid w:val="00A36101"/>
    <w:rsid w:val="00A40BBC"/>
    <w:rsid w:val="00A4166B"/>
    <w:rsid w:val="00A50C3E"/>
    <w:rsid w:val="00A62E66"/>
    <w:rsid w:val="00A701EF"/>
    <w:rsid w:val="00A7120F"/>
    <w:rsid w:val="00A77B9B"/>
    <w:rsid w:val="00A901CC"/>
    <w:rsid w:val="00A9088C"/>
    <w:rsid w:val="00AA717F"/>
    <w:rsid w:val="00AB3013"/>
    <w:rsid w:val="00AC06F6"/>
    <w:rsid w:val="00AC3A2E"/>
    <w:rsid w:val="00AF0DC9"/>
    <w:rsid w:val="00AF370D"/>
    <w:rsid w:val="00B0063E"/>
    <w:rsid w:val="00B044BB"/>
    <w:rsid w:val="00B0530B"/>
    <w:rsid w:val="00B1490C"/>
    <w:rsid w:val="00B15A2C"/>
    <w:rsid w:val="00B313BF"/>
    <w:rsid w:val="00B315B2"/>
    <w:rsid w:val="00B4111F"/>
    <w:rsid w:val="00B42D4D"/>
    <w:rsid w:val="00B45881"/>
    <w:rsid w:val="00B629B9"/>
    <w:rsid w:val="00B6561C"/>
    <w:rsid w:val="00B84BCE"/>
    <w:rsid w:val="00BB3569"/>
    <w:rsid w:val="00BC0B0C"/>
    <w:rsid w:val="00BC0C05"/>
    <w:rsid w:val="00C05427"/>
    <w:rsid w:val="00C11CF8"/>
    <w:rsid w:val="00C223FB"/>
    <w:rsid w:val="00C357F0"/>
    <w:rsid w:val="00C37BF6"/>
    <w:rsid w:val="00C52D5C"/>
    <w:rsid w:val="00C55BDD"/>
    <w:rsid w:val="00C63A81"/>
    <w:rsid w:val="00C7631C"/>
    <w:rsid w:val="00C779BF"/>
    <w:rsid w:val="00C83B74"/>
    <w:rsid w:val="00C92DAF"/>
    <w:rsid w:val="00CB4D7A"/>
    <w:rsid w:val="00CB6011"/>
    <w:rsid w:val="00CD64D8"/>
    <w:rsid w:val="00CE23D0"/>
    <w:rsid w:val="00CE497A"/>
    <w:rsid w:val="00CF1046"/>
    <w:rsid w:val="00D07A62"/>
    <w:rsid w:val="00D1258A"/>
    <w:rsid w:val="00D336A3"/>
    <w:rsid w:val="00D46FEE"/>
    <w:rsid w:val="00D62EC0"/>
    <w:rsid w:val="00D6380F"/>
    <w:rsid w:val="00D717FF"/>
    <w:rsid w:val="00D74F20"/>
    <w:rsid w:val="00D8605B"/>
    <w:rsid w:val="00D9308E"/>
    <w:rsid w:val="00DA1832"/>
    <w:rsid w:val="00DB1AE0"/>
    <w:rsid w:val="00DB3272"/>
    <w:rsid w:val="00DC4620"/>
    <w:rsid w:val="00DD6AD9"/>
    <w:rsid w:val="00DF2B49"/>
    <w:rsid w:val="00DF3D30"/>
    <w:rsid w:val="00E0564B"/>
    <w:rsid w:val="00E20CFA"/>
    <w:rsid w:val="00E52DB7"/>
    <w:rsid w:val="00E677DA"/>
    <w:rsid w:val="00E67E38"/>
    <w:rsid w:val="00E74717"/>
    <w:rsid w:val="00E76079"/>
    <w:rsid w:val="00E93C32"/>
    <w:rsid w:val="00EC33E6"/>
    <w:rsid w:val="00EE278E"/>
    <w:rsid w:val="00F164CF"/>
    <w:rsid w:val="00F56807"/>
    <w:rsid w:val="00F65E8C"/>
    <w:rsid w:val="00F957C4"/>
    <w:rsid w:val="00FA3D16"/>
    <w:rsid w:val="00FA6B67"/>
    <w:rsid w:val="00FB0E31"/>
    <w:rsid w:val="00FC0DD4"/>
    <w:rsid w:val="00FD5112"/>
    <w:rsid w:val="00FE5F8F"/>
    <w:rsid w:val="00FF0A78"/>
    <w:rsid w:val="00FF25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72B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heme="minorBidi"/>
        <w:sz w:val="24"/>
        <w:szCs w:val="24"/>
        <w:lang w:val="fr-FR" w:eastAsia="fr-FR"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1258A"/>
  </w:style>
  <w:style w:type="paragraph" w:styleId="Titre1">
    <w:name w:val="heading 1"/>
    <w:basedOn w:val="Normal"/>
    <w:link w:val="Titre1Car"/>
    <w:uiPriority w:val="9"/>
    <w:qFormat/>
    <w:rsid w:val="001D3060"/>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1D3060"/>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1D306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635E4"/>
    <w:pPr>
      <w:tabs>
        <w:tab w:val="center" w:pos="4536"/>
        <w:tab w:val="right" w:pos="9072"/>
      </w:tabs>
    </w:pPr>
  </w:style>
  <w:style w:type="character" w:customStyle="1" w:styleId="PieddepageCar">
    <w:name w:val="Pied de page Car"/>
    <w:basedOn w:val="Policepardfaut"/>
    <w:link w:val="Pieddepage"/>
    <w:uiPriority w:val="99"/>
    <w:rsid w:val="001635E4"/>
  </w:style>
  <w:style w:type="character" w:styleId="Numrodepage">
    <w:name w:val="page number"/>
    <w:basedOn w:val="Policepardfaut"/>
    <w:uiPriority w:val="99"/>
    <w:semiHidden/>
    <w:unhideWhenUsed/>
    <w:rsid w:val="001635E4"/>
  </w:style>
  <w:style w:type="paragraph" w:styleId="Pardeliste">
    <w:name w:val="List Paragraph"/>
    <w:basedOn w:val="Normal"/>
    <w:uiPriority w:val="34"/>
    <w:qFormat/>
    <w:rsid w:val="00C05427"/>
    <w:pPr>
      <w:ind w:left="720"/>
      <w:contextualSpacing/>
    </w:pPr>
    <w:rPr>
      <w:sz w:val="20"/>
      <w:szCs w:val="20"/>
    </w:rPr>
  </w:style>
  <w:style w:type="character" w:customStyle="1" w:styleId="Titre1Car">
    <w:name w:val="Titre 1 Car"/>
    <w:basedOn w:val="Policepardfaut"/>
    <w:link w:val="Titre1"/>
    <w:uiPriority w:val="9"/>
    <w:rsid w:val="001D3060"/>
    <w:rPr>
      <w:b/>
      <w:bCs/>
      <w:kern w:val="36"/>
      <w:sz w:val="48"/>
      <w:szCs w:val="48"/>
    </w:rPr>
  </w:style>
  <w:style w:type="character" w:customStyle="1" w:styleId="Titre3Car">
    <w:name w:val="Titre 3 Car"/>
    <w:basedOn w:val="Policepardfaut"/>
    <w:link w:val="Titre3"/>
    <w:uiPriority w:val="9"/>
    <w:rsid w:val="001D3060"/>
    <w:rPr>
      <w:b/>
      <w:bCs/>
      <w:sz w:val="27"/>
      <w:szCs w:val="27"/>
    </w:rPr>
  </w:style>
  <w:style w:type="character" w:customStyle="1" w:styleId="Titre4Car">
    <w:name w:val="Titre 4 Car"/>
    <w:basedOn w:val="Policepardfaut"/>
    <w:link w:val="Titre4"/>
    <w:uiPriority w:val="9"/>
    <w:rsid w:val="001D3060"/>
    <w:rPr>
      <w:b/>
      <w:bCs/>
    </w:rPr>
  </w:style>
  <w:style w:type="character" w:customStyle="1" w:styleId="apple-converted-space">
    <w:name w:val="apple-converted-space"/>
    <w:basedOn w:val="Policepardfaut"/>
    <w:rsid w:val="001D3060"/>
  </w:style>
  <w:style w:type="character" w:styleId="Lienhypertexte">
    <w:name w:val="Hyperlink"/>
    <w:basedOn w:val="Policepardfaut"/>
    <w:uiPriority w:val="99"/>
    <w:unhideWhenUsed/>
    <w:rsid w:val="001D3060"/>
    <w:rPr>
      <w:color w:val="0000FF"/>
      <w:u w:val="single"/>
    </w:rPr>
  </w:style>
  <w:style w:type="character" w:customStyle="1" w:styleId="ui-ncbitoggler-master-text">
    <w:name w:val="ui-ncbitoggler-master-text"/>
    <w:basedOn w:val="Policepardfaut"/>
    <w:rsid w:val="001D3060"/>
  </w:style>
  <w:style w:type="paragraph" w:styleId="Normalweb">
    <w:name w:val="Normal (Web)"/>
    <w:basedOn w:val="Normal"/>
    <w:uiPriority w:val="99"/>
    <w:semiHidden/>
    <w:unhideWhenUsed/>
    <w:rsid w:val="001D3060"/>
    <w:pPr>
      <w:spacing w:before="100" w:beforeAutospacing="1" w:after="100" w:afterAutospacing="1"/>
    </w:pPr>
    <w:rPr>
      <w:rFonts w:cs="Times New Roman"/>
      <w:sz w:val="20"/>
      <w:szCs w:val="20"/>
    </w:rPr>
  </w:style>
  <w:style w:type="paragraph" w:styleId="Notedebasdepage">
    <w:name w:val="footnote text"/>
    <w:basedOn w:val="Normal"/>
    <w:link w:val="NotedebasdepageCar"/>
    <w:uiPriority w:val="99"/>
    <w:unhideWhenUsed/>
    <w:rsid w:val="001D3060"/>
  </w:style>
  <w:style w:type="character" w:customStyle="1" w:styleId="NotedebasdepageCar">
    <w:name w:val="Note de bas de page Car"/>
    <w:basedOn w:val="Policepardfaut"/>
    <w:link w:val="Notedebasdepage"/>
    <w:uiPriority w:val="99"/>
    <w:rsid w:val="001D3060"/>
  </w:style>
  <w:style w:type="character" w:styleId="Appelnotedebasdep">
    <w:name w:val="footnote reference"/>
    <w:basedOn w:val="Policepardfaut"/>
    <w:uiPriority w:val="99"/>
    <w:unhideWhenUsed/>
    <w:rsid w:val="001D3060"/>
    <w:rPr>
      <w:vertAlign w:val="superscript"/>
    </w:rPr>
  </w:style>
  <w:style w:type="character" w:styleId="lev">
    <w:name w:val="Strong"/>
    <w:basedOn w:val="Policepardfaut"/>
    <w:uiPriority w:val="22"/>
    <w:qFormat/>
    <w:rsid w:val="00AA717F"/>
    <w:rPr>
      <w:b/>
      <w:bCs/>
    </w:rPr>
  </w:style>
  <w:style w:type="character" w:styleId="Emphase">
    <w:name w:val="Emphasis"/>
    <w:basedOn w:val="Policepardfaut"/>
    <w:uiPriority w:val="20"/>
    <w:qFormat/>
    <w:rsid w:val="006243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2584">
      <w:bodyDiv w:val="1"/>
      <w:marLeft w:val="0"/>
      <w:marRight w:val="0"/>
      <w:marTop w:val="0"/>
      <w:marBottom w:val="0"/>
      <w:divBdr>
        <w:top w:val="none" w:sz="0" w:space="0" w:color="auto"/>
        <w:left w:val="none" w:sz="0" w:space="0" w:color="auto"/>
        <w:bottom w:val="none" w:sz="0" w:space="0" w:color="auto"/>
        <w:right w:val="none" w:sz="0" w:space="0" w:color="auto"/>
      </w:divBdr>
    </w:div>
    <w:div w:id="109977902">
      <w:bodyDiv w:val="1"/>
      <w:marLeft w:val="0"/>
      <w:marRight w:val="0"/>
      <w:marTop w:val="0"/>
      <w:marBottom w:val="0"/>
      <w:divBdr>
        <w:top w:val="none" w:sz="0" w:space="0" w:color="auto"/>
        <w:left w:val="none" w:sz="0" w:space="0" w:color="auto"/>
        <w:bottom w:val="none" w:sz="0" w:space="0" w:color="auto"/>
        <w:right w:val="none" w:sz="0" w:space="0" w:color="auto"/>
      </w:divBdr>
    </w:div>
    <w:div w:id="260572063">
      <w:bodyDiv w:val="1"/>
      <w:marLeft w:val="0"/>
      <w:marRight w:val="0"/>
      <w:marTop w:val="0"/>
      <w:marBottom w:val="0"/>
      <w:divBdr>
        <w:top w:val="none" w:sz="0" w:space="0" w:color="auto"/>
        <w:left w:val="none" w:sz="0" w:space="0" w:color="auto"/>
        <w:bottom w:val="none" w:sz="0" w:space="0" w:color="auto"/>
        <w:right w:val="none" w:sz="0" w:space="0" w:color="auto"/>
      </w:divBdr>
    </w:div>
    <w:div w:id="348290584">
      <w:bodyDiv w:val="1"/>
      <w:marLeft w:val="0"/>
      <w:marRight w:val="0"/>
      <w:marTop w:val="0"/>
      <w:marBottom w:val="0"/>
      <w:divBdr>
        <w:top w:val="none" w:sz="0" w:space="0" w:color="auto"/>
        <w:left w:val="none" w:sz="0" w:space="0" w:color="auto"/>
        <w:bottom w:val="none" w:sz="0" w:space="0" w:color="auto"/>
        <w:right w:val="none" w:sz="0" w:space="0" w:color="auto"/>
      </w:divBdr>
    </w:div>
    <w:div w:id="494953856">
      <w:bodyDiv w:val="1"/>
      <w:marLeft w:val="0"/>
      <w:marRight w:val="0"/>
      <w:marTop w:val="0"/>
      <w:marBottom w:val="0"/>
      <w:divBdr>
        <w:top w:val="none" w:sz="0" w:space="0" w:color="auto"/>
        <w:left w:val="none" w:sz="0" w:space="0" w:color="auto"/>
        <w:bottom w:val="none" w:sz="0" w:space="0" w:color="auto"/>
        <w:right w:val="none" w:sz="0" w:space="0" w:color="auto"/>
      </w:divBdr>
    </w:div>
    <w:div w:id="585848305">
      <w:bodyDiv w:val="1"/>
      <w:marLeft w:val="0"/>
      <w:marRight w:val="0"/>
      <w:marTop w:val="0"/>
      <w:marBottom w:val="0"/>
      <w:divBdr>
        <w:top w:val="none" w:sz="0" w:space="0" w:color="auto"/>
        <w:left w:val="none" w:sz="0" w:space="0" w:color="auto"/>
        <w:bottom w:val="none" w:sz="0" w:space="0" w:color="auto"/>
        <w:right w:val="none" w:sz="0" w:space="0" w:color="auto"/>
      </w:divBdr>
    </w:div>
    <w:div w:id="814300774">
      <w:bodyDiv w:val="1"/>
      <w:marLeft w:val="0"/>
      <w:marRight w:val="0"/>
      <w:marTop w:val="0"/>
      <w:marBottom w:val="0"/>
      <w:divBdr>
        <w:top w:val="none" w:sz="0" w:space="0" w:color="auto"/>
        <w:left w:val="none" w:sz="0" w:space="0" w:color="auto"/>
        <w:bottom w:val="none" w:sz="0" w:space="0" w:color="auto"/>
        <w:right w:val="none" w:sz="0" w:space="0" w:color="auto"/>
      </w:divBdr>
      <w:divsChild>
        <w:div w:id="1061170559">
          <w:marLeft w:val="547"/>
          <w:marRight w:val="0"/>
          <w:marTop w:val="154"/>
          <w:marBottom w:val="0"/>
          <w:divBdr>
            <w:top w:val="none" w:sz="0" w:space="0" w:color="auto"/>
            <w:left w:val="none" w:sz="0" w:space="0" w:color="auto"/>
            <w:bottom w:val="none" w:sz="0" w:space="0" w:color="auto"/>
            <w:right w:val="none" w:sz="0" w:space="0" w:color="auto"/>
          </w:divBdr>
        </w:div>
        <w:div w:id="121653164">
          <w:marLeft w:val="547"/>
          <w:marRight w:val="0"/>
          <w:marTop w:val="154"/>
          <w:marBottom w:val="0"/>
          <w:divBdr>
            <w:top w:val="none" w:sz="0" w:space="0" w:color="auto"/>
            <w:left w:val="none" w:sz="0" w:space="0" w:color="auto"/>
            <w:bottom w:val="none" w:sz="0" w:space="0" w:color="auto"/>
            <w:right w:val="none" w:sz="0" w:space="0" w:color="auto"/>
          </w:divBdr>
        </w:div>
        <w:div w:id="1582328667">
          <w:marLeft w:val="547"/>
          <w:marRight w:val="0"/>
          <w:marTop w:val="154"/>
          <w:marBottom w:val="0"/>
          <w:divBdr>
            <w:top w:val="none" w:sz="0" w:space="0" w:color="auto"/>
            <w:left w:val="none" w:sz="0" w:space="0" w:color="auto"/>
            <w:bottom w:val="none" w:sz="0" w:space="0" w:color="auto"/>
            <w:right w:val="none" w:sz="0" w:space="0" w:color="auto"/>
          </w:divBdr>
        </w:div>
      </w:divsChild>
    </w:div>
    <w:div w:id="1006635230">
      <w:bodyDiv w:val="1"/>
      <w:marLeft w:val="0"/>
      <w:marRight w:val="0"/>
      <w:marTop w:val="0"/>
      <w:marBottom w:val="0"/>
      <w:divBdr>
        <w:top w:val="none" w:sz="0" w:space="0" w:color="auto"/>
        <w:left w:val="none" w:sz="0" w:space="0" w:color="auto"/>
        <w:bottom w:val="none" w:sz="0" w:space="0" w:color="auto"/>
        <w:right w:val="none" w:sz="0" w:space="0" w:color="auto"/>
      </w:divBdr>
    </w:div>
    <w:div w:id="1123420481">
      <w:bodyDiv w:val="1"/>
      <w:marLeft w:val="0"/>
      <w:marRight w:val="0"/>
      <w:marTop w:val="0"/>
      <w:marBottom w:val="0"/>
      <w:divBdr>
        <w:top w:val="none" w:sz="0" w:space="0" w:color="auto"/>
        <w:left w:val="none" w:sz="0" w:space="0" w:color="auto"/>
        <w:bottom w:val="none" w:sz="0" w:space="0" w:color="auto"/>
        <w:right w:val="none" w:sz="0" w:space="0" w:color="auto"/>
      </w:divBdr>
    </w:div>
    <w:div w:id="1183668676">
      <w:bodyDiv w:val="1"/>
      <w:marLeft w:val="0"/>
      <w:marRight w:val="0"/>
      <w:marTop w:val="0"/>
      <w:marBottom w:val="0"/>
      <w:divBdr>
        <w:top w:val="none" w:sz="0" w:space="0" w:color="auto"/>
        <w:left w:val="none" w:sz="0" w:space="0" w:color="auto"/>
        <w:bottom w:val="none" w:sz="0" w:space="0" w:color="auto"/>
        <w:right w:val="none" w:sz="0" w:space="0" w:color="auto"/>
      </w:divBdr>
    </w:div>
    <w:div w:id="1281649896">
      <w:bodyDiv w:val="1"/>
      <w:marLeft w:val="0"/>
      <w:marRight w:val="0"/>
      <w:marTop w:val="0"/>
      <w:marBottom w:val="0"/>
      <w:divBdr>
        <w:top w:val="none" w:sz="0" w:space="0" w:color="auto"/>
        <w:left w:val="none" w:sz="0" w:space="0" w:color="auto"/>
        <w:bottom w:val="none" w:sz="0" w:space="0" w:color="auto"/>
        <w:right w:val="none" w:sz="0" w:space="0" w:color="auto"/>
      </w:divBdr>
    </w:div>
    <w:div w:id="1435637940">
      <w:bodyDiv w:val="1"/>
      <w:marLeft w:val="0"/>
      <w:marRight w:val="0"/>
      <w:marTop w:val="0"/>
      <w:marBottom w:val="0"/>
      <w:divBdr>
        <w:top w:val="none" w:sz="0" w:space="0" w:color="auto"/>
        <w:left w:val="none" w:sz="0" w:space="0" w:color="auto"/>
        <w:bottom w:val="none" w:sz="0" w:space="0" w:color="auto"/>
        <w:right w:val="none" w:sz="0" w:space="0" w:color="auto"/>
      </w:divBdr>
    </w:div>
    <w:div w:id="1701315594">
      <w:bodyDiv w:val="1"/>
      <w:marLeft w:val="0"/>
      <w:marRight w:val="0"/>
      <w:marTop w:val="0"/>
      <w:marBottom w:val="0"/>
      <w:divBdr>
        <w:top w:val="none" w:sz="0" w:space="0" w:color="auto"/>
        <w:left w:val="none" w:sz="0" w:space="0" w:color="auto"/>
        <w:bottom w:val="none" w:sz="0" w:space="0" w:color="auto"/>
        <w:right w:val="none" w:sz="0" w:space="0" w:color="auto"/>
      </w:divBdr>
    </w:div>
    <w:div w:id="1853181915">
      <w:bodyDiv w:val="1"/>
      <w:marLeft w:val="0"/>
      <w:marRight w:val="0"/>
      <w:marTop w:val="0"/>
      <w:marBottom w:val="0"/>
      <w:divBdr>
        <w:top w:val="none" w:sz="0" w:space="0" w:color="auto"/>
        <w:left w:val="none" w:sz="0" w:space="0" w:color="auto"/>
        <w:bottom w:val="none" w:sz="0" w:space="0" w:color="auto"/>
        <w:right w:val="none" w:sz="0" w:space="0" w:color="auto"/>
      </w:divBdr>
      <w:divsChild>
        <w:div w:id="697125896">
          <w:marLeft w:val="0"/>
          <w:marRight w:val="0"/>
          <w:marTop w:val="240"/>
          <w:marBottom w:val="100"/>
          <w:divBdr>
            <w:top w:val="none" w:sz="0" w:space="0" w:color="auto"/>
            <w:left w:val="none" w:sz="0" w:space="0" w:color="auto"/>
            <w:bottom w:val="none" w:sz="0" w:space="0" w:color="auto"/>
            <w:right w:val="none" w:sz="0" w:space="0" w:color="auto"/>
          </w:divBdr>
          <w:divsChild>
            <w:div w:id="14443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1989">
      <w:bodyDiv w:val="1"/>
      <w:marLeft w:val="0"/>
      <w:marRight w:val="0"/>
      <w:marTop w:val="0"/>
      <w:marBottom w:val="0"/>
      <w:divBdr>
        <w:top w:val="none" w:sz="0" w:space="0" w:color="auto"/>
        <w:left w:val="none" w:sz="0" w:space="0" w:color="auto"/>
        <w:bottom w:val="none" w:sz="0" w:space="0" w:color="auto"/>
        <w:right w:val="none" w:sz="0" w:space="0" w:color="auto"/>
      </w:divBdr>
    </w:div>
    <w:div w:id="2094348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4D83A4-DBD9-B345-BE32-9F4BCECD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10</Pages>
  <Words>5197</Words>
  <Characters>28586</Characters>
  <Application>Microsoft Macintosh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Université d'Artois</Company>
  <LinksUpToDate>false</LinksUpToDate>
  <CharactersWithSpaces>33716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chelini</dc:creator>
  <cp:keywords/>
  <dc:description/>
  <cp:lastModifiedBy>Michel-Pierre Chelini</cp:lastModifiedBy>
  <cp:revision>158</cp:revision>
  <cp:lastPrinted>2016-08-27T00:56:00Z</cp:lastPrinted>
  <dcterms:created xsi:type="dcterms:W3CDTF">2016-07-04T10:33:00Z</dcterms:created>
  <dcterms:modified xsi:type="dcterms:W3CDTF">2016-08-28T01:00:00Z</dcterms:modified>
</cp:coreProperties>
</file>